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default" w:ascii="Times New Roman" w:hAnsi="Times New Roman" w:eastAsia="方正黑体_GBK" w:cs="Times New Roman"/>
        </w:rPr>
        <w:pict>
          <v:shape id="_x0000_s1029" o:spid="_x0000_s1029" o:spt="136" type="#_x0000_t136" style="position:absolute;left:0pt;margin-left:92.15pt;margin-top:98.55pt;height:53.85pt;width:411pt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巫山县民政局文件" style="font-family:方正小标宋_GBK;font-size:36pt;font-weight:bold;v-rotate-letters:f;v-same-letter-heights:f;v-text-align:center;"/>
          </v:shape>
        </w:pict>
      </w:r>
    </w:p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left="210" w:leftChars="100" w:right="210" w:rightChars="1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margin">
                  <wp:posOffset>3071495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241.85pt;height:0pt;width:442.2pt;mso-position-horizontal-relative:page;mso-position-vertical-relative:margin;z-index:251659264;mso-width-relative:page;mso-height-relative:page;" filled="f" stroked="t" coordsize="21600,21600" o:gfxdata="UEsFBgAAAAAAAAAAAAAAAAAAAAAAAFBLAwQKAAAAAACHTuJAAAAAAAAAAAAAAAAABAAAAGRycy9Q&#10;SwMEFAAAAAgAh07iQNxKvJbZAAAADAEAAA8AAABkcnMvZG93bnJldi54bWxNj81OwzAQhO9IvIO1&#10;SNyoXVKaKsTpAQkkfoqUwgM48ZJEjdchdtPC07OVkOA4s6NvZ/L10fViwjF0njTMZwoEUu1tR42G&#10;97f7qxWIEA1Z03tCDV8YYF2cn+Ums/5AJU7b2AiGUMiMhjbGIZMy1C06E2Z+QOLbhx+diSzHRtrR&#10;HBjuenmt1FI60xF/aM2Ady3Wu+3eMWVKdy/Pm+/y86nzj+XD8rVqetT68mKubkFEPMa/MJzqc3Uo&#10;uFPl92SD6FnfJLwlaliskhTEKaGSdAGi+rVkkcv/I4ofUEsDBBQAAAAIAIdO4kDJFVeN4wEAAKgD&#10;AAAOAAAAZHJzL2Uyb0RvYy54bWytU0uOEzEQ3SNxB8t70kmGjKCVziwmhA2CSMABKra725J/cjnp&#10;5BJcAIkdrFiy5zYMx6DsZDIzsEEIL9xlV/m53vPr+dXeGrZTEbV3DZ+MxpwpJ7zUrmv4+3erJ884&#10;wwROgvFONfygkF8tHj+aD6FWU997I1VkBOKwHkLD+5RCXVUoemUBRz4oR8nWRwuJlrGrZISB0K2p&#10;puPxZTX4KEP0QiHS7vKY5IuC37ZKpDdtiyox03DqLZU5lnmT52oxh7qLEHotTm3AP3RhQTu69Ay1&#10;hARsG/UfUFaL6NG3aSS8rXzbaqEKB2IzGf/G5m0PQRUuJA6Gs0z4/2DF6906Mi0bfsGZA0tPdPPx&#10;248Pn39+/0Tzzdcv7CKLNASsqfbareNphWEdM+N9G23+Ehe2L8IezsKqfWKCNmeXk9nzp6S/uM1V&#10;dwdDxPRSecty0HCjXeYMNexeYaLLqPS2JG8bx4aGT2nMCA/IM62BRKENxAJdVw6jN1qutDH5CMZu&#10;c20i2wG5YLUa08icCPhBWb5lCdgf60rq6I9egXzhJEuHQPo4MjLPPVglOTOKfJ8jAoQ6gTZ/U0lX&#10;G5cPqOLRE9Es8lHWHG28PNDbbEPUXU/CpLhVpe2cJDsUAifrZr/dX1N8/wdb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cSryW2QAAAAwBAAAPAAAAAAAAAAEAIAAAADgAAABkcnMvZG93bnJldi54&#10;bWxQSwECFAAUAAAACACHTuJAyRVXjeMBAACoAwAADgAAAAAAAAABACAAAAA+AQAAZHJzL2Uyb0Rv&#10;Yy54bWxQSwUGAAAAAAYABgBZAQAAk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巫山民政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〕</w:t>
      </w:r>
      <w:r>
        <w:rPr>
          <w:rFonts w:hint="eastAsia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169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巫山县民政局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对现有城乡低保对象进行全面复核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的通</w:t>
      </w:r>
      <w:r>
        <w:rPr>
          <w:rFonts w:ascii="Times New Roman" w:hAnsi="Times New Roman" w:eastAsia="方正小标宋_GBK" w:cs="Times New Roman"/>
          <w:sz w:val="44"/>
          <w:szCs w:val="44"/>
        </w:rPr>
        <w:t>知</w:t>
      </w:r>
    </w:p>
    <w:p>
      <w:pPr>
        <w:overflowPunct w:val="0"/>
        <w:adjustRightInd w:val="0"/>
        <w:snapToGrid w:val="0"/>
        <w:spacing w:line="579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各乡镇人民政府，街道办事处：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低保新增、动态核查率已纳入市局对各区县社会救助工作考核内容之一。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4月</w:t>
      </w:r>
      <w:r>
        <w:rPr>
          <w:rFonts w:hint="eastAsia" w:ascii="Times New Roman" w:hAnsi="Times New Roman" w:eastAsia="方正仿宋_GBK"/>
          <w:sz w:val="32"/>
          <w:szCs w:val="32"/>
        </w:rPr>
        <w:t>市级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核查系统新增银行存款信息查询功能，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重庆市最低生活保障动态管理规范</w:t>
      </w:r>
      <w:r>
        <w:rPr>
          <w:rFonts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及全市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低保新增和动态核查情况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通报，我县新增低保家庭未实现 100%核查，一年内在册低保对象核查率仅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%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为进一步落实好动态管理工作，提高救助精准性，现就有关工作要求通知如下：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方正黑体_GBK" w:eastAsia="方正黑体_GBK" w:cs="Times New Roman"/>
          <w:sz w:val="32"/>
          <w:szCs w:val="32"/>
          <w:lang w:eastAsia="zh-CN"/>
        </w:rPr>
        <w:t>一</w:t>
      </w:r>
      <w:r>
        <w:rPr>
          <w:rFonts w:ascii="Times New Roman" w:hAnsi="方正黑体_GBK" w:eastAsia="方正黑体_GBK" w:cs="Times New Roman"/>
          <w:sz w:val="32"/>
          <w:szCs w:val="32"/>
        </w:rPr>
        <w:t>、</w:t>
      </w:r>
      <w:r>
        <w:rPr>
          <w:rFonts w:hint="eastAsia" w:ascii="Times New Roman" w:hAnsi="方正黑体_GBK" w:eastAsia="方正黑体_GBK" w:cs="Times New Roman"/>
          <w:sz w:val="32"/>
          <w:szCs w:val="32"/>
          <w:lang w:eastAsia="zh-CN"/>
        </w:rPr>
        <w:t>复核对象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现有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eastAsia="zh-CN"/>
        </w:rPr>
        <w:t>在册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城乡低保对象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复核时间</w:t>
      </w:r>
    </w:p>
    <w:p>
      <w:pPr>
        <w:pStyle w:val="5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之前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复核及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动态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三、复核方式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通过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eastAsia="zh-CN"/>
        </w:rPr>
        <w:t>重庆市社会救助家庭经济状况信息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核查系统等渠道，对现有城乡低保对象进行全面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eastAsia="zh-CN"/>
        </w:rPr>
        <w:t>复核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排查，不符合保障条件的，及时予以清退。</w:t>
      </w:r>
    </w:p>
    <w:p>
      <w:pPr>
        <w:keepNext w:val="0"/>
        <w:keepLines w:val="0"/>
        <w:pageBreakBefore w:val="0"/>
        <w:widowControl/>
        <w:tabs>
          <w:tab w:val="center" w:pos="4422"/>
        </w:tabs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 xml:space="preserve">四、工作要求 </w:t>
      </w: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（一）提高认识。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各乡镇（街道）要充分认识低保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复核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动态管理工作的重要性和必要性，加强领导，精心组织，落实责任，制定方案，保障此次动态工作的顺利开展。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（二）政策宣传。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各乡镇（街道）要通过多形式多渠道，广泛宣传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  <w:t>低保政策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、核查程序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  <w:t>，让广大群众知晓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复核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  <w:t>的目的及意义，引导群众主动支持和配合工作的开展。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（三）规范操作。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一是</w:t>
      </w:r>
      <w:r>
        <w:rPr>
          <w:rFonts w:ascii="Times New Roman" w:hAnsi="Times New Roman" w:eastAsia="方正仿宋_GBK" w:cs="Times New Roman"/>
          <w:sz w:val="32"/>
          <w:szCs w:val="32"/>
        </w:rPr>
        <w:t>严格按照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巫山县民政局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关于进一步规范社会救助家庭经济状况核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授权工作的通知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巫山民政发〔2019〕129号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）文件要求规范授权，确保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救助申请人签署的核查认定授权书真实、合法、有效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重庆市民政局关于印发〈重庆市最低生活保障申请审批规程〉和〈重庆市最低生活保障动态管理规范〉的通知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，低保对象按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A、B、C实行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分类管理，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要求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在册低保家庭提出续保申请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（四）注重方法。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乡镇要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提前统筹，分批安排动态复核，避免年末集中核查，造成系统数据拥堵无法按时反馈。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二是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把握工作方法，积极稳妥实行，尤其对被清退的对象，要做好政策解释工作，并按规定书面告知和公示，避免产生新的矛盾，采取积极有效措施，妥善应对，做好各类突发事件、群体性事件处置工作。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三是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在开展动态清理时，个别对象家庭确有困难，无法提供相关证明材料，经乡镇（街道）低保经办人员调查核实，集体研究审核，张榜公示，群众评议无异议者，可予以保留。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（五）强化公示。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各乡镇（街道）要严格履行公示程序，严把公示内容和时间，对批准纳入保障的申请家庭、不予纳入保障的申请家庭、调整低保救助金家庭、停发低保救助家庭，制作公示表，分别在乡镇政府政务公开栏、村务公开栏和人员集中地点等进行多点张榜公示，并拍照存档。严禁不公示、公示走过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（六）督查通报。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9月开始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对乡镇的核查进度及抽查问题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予以通报。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通报内容将作为乡镇（街道）经济社会事业考核</w:t>
      </w:r>
      <w:r>
        <w:rPr>
          <w:rFonts w:hint="eastAsia" w:eastAsia="方正仿宋_GBK"/>
          <w:sz w:val="32"/>
          <w:szCs w:val="32"/>
          <w:lang w:eastAsia="zh-CN"/>
        </w:rPr>
        <w:t>评分的依据。</w:t>
      </w:r>
    </w:p>
    <w:p>
      <w:pPr>
        <w:pStyle w:val="5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408" w:lineRule="atLeas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6月在册低保对象一年内核查及和部门比对情况表</w:t>
      </w:r>
    </w:p>
    <w:p>
      <w:pPr>
        <w:pStyle w:val="5"/>
      </w:pPr>
    </w:p>
    <w:p/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164" w:firstLine="5084" w:firstLineChars="1550"/>
        <w:jc w:val="both"/>
        <w:textAlignment w:val="baseline"/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164" w:firstLine="5084" w:firstLineChars="1550"/>
        <w:jc w:val="both"/>
        <w:textAlignment w:val="baseline"/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164" w:firstLine="5084" w:firstLineChars="1550"/>
        <w:jc w:val="both"/>
        <w:textAlignment w:val="baseline"/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</w:pPr>
      <w:r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  <w:t>巫山县民政局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920" w:firstLineChars="1500"/>
        <w:jc w:val="left"/>
        <w:textAlignment w:val="baseline"/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</w:pPr>
      <w:r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  <w:t>2021年</w:t>
      </w:r>
      <w:r>
        <w:rPr>
          <w:rFonts w:hint="eastAsia" w:eastAsia="方正仿宋_GBK"/>
          <w:b w:val="0"/>
          <w:i w:val="0"/>
          <w:caps w:val="0"/>
          <w:spacing w:val="4"/>
          <w:w w:val="100"/>
          <w:kern w:val="0"/>
          <w:sz w:val="32"/>
          <w:szCs w:val="32"/>
          <w:lang w:val="en-US" w:eastAsia="zh-CN"/>
        </w:rPr>
        <w:t>7</w:t>
      </w:r>
      <w:r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  <w:t>月</w:t>
      </w:r>
      <w:r>
        <w:rPr>
          <w:rFonts w:hint="eastAsia" w:eastAsia="方正仿宋_GBK"/>
          <w:b w:val="0"/>
          <w:i w:val="0"/>
          <w:caps w:val="0"/>
          <w:spacing w:val="4"/>
          <w:w w:val="100"/>
          <w:kern w:val="0"/>
          <w:sz w:val="32"/>
          <w:szCs w:val="32"/>
          <w:lang w:val="en-US" w:eastAsia="zh-CN"/>
        </w:rPr>
        <w:t>30</w:t>
      </w:r>
      <w:r>
        <w:rPr>
          <w:rFonts w:eastAsia="方正仿宋_GBK"/>
          <w:b w:val="0"/>
          <w:i w:val="0"/>
          <w:caps w:val="0"/>
          <w:spacing w:val="4"/>
          <w:w w:val="100"/>
          <w:kern w:val="0"/>
          <w:sz w:val="32"/>
          <w:szCs w:val="32"/>
        </w:rPr>
        <w:t>日</w:t>
      </w:r>
    </w:p>
    <w:p>
      <w:pPr>
        <w:pStyle w:val="2"/>
        <w:rPr>
          <w:rFonts w:hint="eastAsia" w:eastAsia="方正仿宋_GBK"/>
          <w:lang w:eastAsia="zh-CN"/>
        </w:rPr>
      </w:pPr>
      <w:r>
        <w:rPr>
          <w:rFonts w:hint="eastAsia" w:eastAsia="方正仿宋_GBK"/>
          <w:b w:val="0"/>
          <w:i w:val="0"/>
          <w:caps w:val="0"/>
          <w:spacing w:val="4"/>
          <w:w w:val="100"/>
          <w:kern w:val="0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eastAsia="方正仿宋_GBK"/>
          <w:b w:val="0"/>
          <w:i w:val="0"/>
          <w:caps w:val="0"/>
          <w:spacing w:val="4"/>
          <w:w w:val="100"/>
          <w:kern w:val="0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napToGrid w:val="0"/>
        <w:spacing w:line="360" w:lineRule="auto"/>
        <w:ind w:right="17"/>
        <w:rPr>
          <w:rFonts w:hint="eastAsia" w:ascii="方正小标宋_GBK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382270</wp:posOffset>
                </wp:positionV>
                <wp:extent cx="566737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4.25pt;margin-top:30.1pt;height:0pt;width:446.25pt;z-index:251661312;mso-width-relative:page;mso-height-relative:page;" filled="f" stroked="t" coordsize="21600,21600" o:gfxdata="UEsFBgAAAAAAAAAAAAAAAAAAAAAAAFBLAwQKAAAAAACHTuJAAAAAAAAAAAAAAAAABAAAAGRycy9Q&#10;SwMEFAAAAAgAh07iQJYbOx3WAAAACAEAAA8AAABkcnMvZG93bnJldi54bWxNj81OwzAQhO9IvIO1&#10;SNxauxEUK8TpAVRVIC5tkbi68RIH4nUauz+8PYs4wHFnRrPfVItz6MURx9RFMjCbKhBITXQdtQZe&#10;t8uJBpGyJWf7SGjgCxMs6suLypYunmiNx01uBZdQKq0Bn/NQSpkaj8GmaRyQ2HuPY7CZz7GVbrQn&#10;Lg+9LJSay2A74g/eDvjgsfncHIIB+7ha5zddPN91T/7lY7vcr7zeG3N9NVP3IDKe818YfvAZHWpm&#10;2sUDuSR6AxN9y0kDc1WAYF/rG962+xVkXcn/A+pvUEsDBBQAAAAIAIdO4kCgeg/30QEAAJEDAAAO&#10;AAAAZHJzL2Uyb0RvYy54bWytU0uOEzEQ3SNxB8t70pnAJKiVziwmDBsEkYADVPzptuSfXE46OQvX&#10;YMWG48w1KDuZDJ/NaEQWTtlVfn7vVfXy5uAs26uEJviOX02mnCkvgjS+7/jXL3ev3nKGGbwEG7zq&#10;+FEhv1m9fLEcY6tmYQhWqsQIxGM7xo4POce2aVAMygFOQlSekjokB5m2qW9kgpHQnW1m0+m8GUOS&#10;MQWhEOl0fUryVcXXWon8SWtUmdmOE7dc11TXbVmb1RLaPkEcjDjTgGewcGA8PXqBWkMGtkvmHyhn&#10;RAoYdJ6I4JqgtRGqaiA1V9O/1HweIKqqhczBeLEJ/x+s+LjfJGZkx2eceXDUovtv3+9//GRvijdj&#10;xJZKbv0mnXcYN6kIPejkyj9JYIfq5/HipzpkJujwej5fvF5ccyYecs3jxZgwv1fBsRJ03BpfpEIL&#10;+w+Y6TEqfSgpx9azkQZstphSGwXQqGgLmUIXiTz6vl7GYI28M9aWK5j67a1NbA+l+fVXNBHwH2Xl&#10;lTXgcKqrqdNYDArkOy9ZPkayxdP88sLBKcmZVTTuJSJAaDMY+5RKetp6YlBsPRlZom2QR2rCLibT&#10;D2RFTjtViZYk9b1SPs9oGazf9xXs8Uta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WGzsd1gAA&#10;AAgBAAAPAAAAAAAAAAEAIAAAADgAAABkcnMvZG93bnJldi54bWxQSwECFAAUAAAACACHTuJAoHoP&#10;99EBAACRAwAADgAAAAAAAAABACAAAAA7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300" w:lineRule="auto"/>
        <w:ind w:right="17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321310</wp:posOffset>
                </wp:positionV>
                <wp:extent cx="566737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4pt;margin-top:25.3pt;height:0pt;width:446.25pt;z-index:251662336;mso-width-relative:page;mso-height-relative:page;" filled="f" stroked="t" coordsize="21600,21600" o:gfxdata="UEsFBgAAAAAAAAAAAAAAAAAAAAAAAFBLAwQKAAAAAACHTuJAAAAAAAAAAAAAAAAABAAAAGRycy9Q&#10;SwMEFAAAAAgAh07iQIllsHfXAAAACAEAAA8AAABkcnMvZG93bnJldi54bWxNj81OwzAQhO9IvIO1&#10;SNxauxUtVojTA6iqQFzaInHdxksciNdp7P7w9hhxKMfZWc18Uy7OvhNHGmIb2MBkrEAQ18G23Bh4&#10;2y5HGkRMyBa7wGTgmyIsquurEgsbTrym4yY1IodwLNCAS6kvpIy1I49xHHri7H2EwWPKcmikHfCU&#10;w30np0rNpceWc4PDnh4d1V+bgzeAT6t1etfTl/v22b1+bpf7ldN7Y25vJuoBRKJzujzDL35Ghyoz&#10;7cKBbRSdgZHOU5KBmZqDyL7WdzMQu7+DrEr5f0D1A1BLAwQUAAAACACHTuJARj5zg9ABAACRAwAA&#10;DgAAAGRycy9lMm9Eb2MueG1srVNLjhMxEN0jcQfLe9KZQBLUSmcWE4YNgkjAASr+dFvyTy4nnZyF&#10;a7Biw3HmGpSdTIbPBiGycMqu8vN7r6pXt0dn2UElNMF3/GYy5Ux5EaTxfcc/f7p/8ZozzOAl2OBV&#10;x08K+e36+bPVGFs1C0OwUiVGIB7bMXZ8yDm2TYNiUA5wEqLylNQhOci0TX0jE4yE7mwzm04XzRiS&#10;jCkIhUinm3OSryu+1krkD1qjysx2nLjluqa67srarFfQ9gniYMSFBvwDCwfG06NXqA1kYPtk/oBy&#10;RqSAQeeJCK4JWhuhqgZSczP9Tc3HAaKqWsgcjFeb8P/BiveHbWJGdvwVZx4ctejhy9eHb9/ZvHgz&#10;Rmyp5M5v02WHcZuK0KNOrvyTBHasfp6ufqpjZoIO54vF8uVyzpl4zDVPF2PC/FYFx0rQcWt8kQot&#10;HN5hpseo9LGkHFvPRhqw2XJKbRRAo6ItZApdJPLo+3oZgzXy3lhbrmDqd3c2sQOU5tdf0UTAv5SV&#10;VzaAw7mups5jMSiQb7xk+RTJFk/zywsHpyRnVtG4l4gAoc1g7N9U0tPWE4Ni69nIEu2CPFET9jGZ&#10;fiArctqrSrQkqe+V8mVGy2D9vK9gT1/S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JZbB31wAA&#10;AAgBAAAPAAAAAAAAAAEAIAAAADgAAABkcnMvZG93bnJldi54bWxQSwECFAAUAAAACACHTuJARj5z&#10;g9ABAACRAwAADgAAAAAAAAABACAAAAA8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巫山县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民政局办公室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 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21年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FAE48"/>
    <w:multiLevelType w:val="singleLevel"/>
    <w:tmpl w:val="A58FAE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454B"/>
    <w:rsid w:val="0F321A1C"/>
    <w:rsid w:val="0FA35E37"/>
    <w:rsid w:val="13000E34"/>
    <w:rsid w:val="23423C13"/>
    <w:rsid w:val="37CC1D0E"/>
    <w:rsid w:val="3E5B42BA"/>
    <w:rsid w:val="409C47CB"/>
    <w:rsid w:val="421D06CC"/>
    <w:rsid w:val="4E6B22E6"/>
    <w:rsid w:val="51FE6924"/>
    <w:rsid w:val="59216B63"/>
    <w:rsid w:val="610130FE"/>
    <w:rsid w:val="62DF0712"/>
    <w:rsid w:val="64640B1A"/>
    <w:rsid w:val="7F7712BE"/>
    <w:rsid w:val="E7FBB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 w:eastAsia="方正黑体_GBK" w:cs="Times New Roman"/>
      <w:bCs/>
      <w:sz w:val="32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1142</Characters>
  <Lines>0</Lines>
  <Paragraphs>0</Paragraphs>
  <TotalTime>3</TotalTime>
  <ScaleCrop>false</ScaleCrop>
  <LinksUpToDate>false</LinksUpToDate>
  <CharactersWithSpaces>1166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2021-07-02T11:40:00Z</dcterms:created>
  <dc:creator>Administrator</dc:creator>
  <cp:lastModifiedBy>mzg</cp:lastModifiedBy>
  <dcterms:modified xsi:type="dcterms:W3CDTF">2023-10-17T14:50:18Z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395B9D6251134FB89527C3BBED2D04C9</vt:lpwstr>
  </property>
</Properties>
</file>