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40" w:lineRule="exact"/>
        <w:rPr>
          <w:rFonts w:hint="eastAsia" w:ascii="方正黑体_GBK" w:eastAsia="方正黑体_GBK"/>
          <w:sz w:val="32"/>
          <w:szCs w:val="32"/>
        </w:rPr>
      </w:pPr>
      <w:r>
        <w:rPr>
          <w:rFonts w:hint="eastAsia" w:ascii="方正黑体_GBK" w:eastAsia="方正黑体_GBK"/>
          <w:sz w:val="32"/>
          <w:szCs w:val="32"/>
        </w:rPr>
        <w:t>附件</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巫山县大昌镇七里村水美乡村建设工程</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初步设计报告审查意见</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 xml:space="preserve"> 2022年9月22日，巫山县水利局在七楼小会议室组织召开了《</w:t>
      </w:r>
      <w:r>
        <w:rPr>
          <w:rFonts w:hint="eastAsia" w:ascii="方正仿宋_GBK" w:hAnsi="Calibri" w:eastAsia="方正仿宋_GBK"/>
          <w:color w:val="000000" w:themeColor="text1"/>
          <w:kern w:val="2"/>
          <w:sz w:val="32"/>
          <w:szCs w:val="32"/>
        </w:rPr>
        <w:t>巫山县大昌镇七里村水美乡村建设工程</w:t>
      </w:r>
      <w:r>
        <w:rPr>
          <w:rFonts w:hint="eastAsia" w:ascii="方正仿宋_GBK" w:hAnsi="Calibri" w:eastAsia="方正仿宋_GBK" w:cs="Times New Roman"/>
          <w:color w:val="000000" w:themeColor="text1"/>
          <w:kern w:val="2"/>
          <w:sz w:val="32"/>
          <w:szCs w:val="32"/>
        </w:rPr>
        <w:t>初步设计报告》（以下简称《初设报告》）评审会。参加会议的有巫山县大昌镇政府、巫山县住房城乡建委、巫山县城管局、巫山县交通局、巫山县水利局、建设单位巫山县水利管理站、编制单位重庆图强工程技术咨询有限公司等政府、单位的代表，会议成立了专家组负责技术评审。评审专家和与会代表听取了建设单位关于项目情况和设计相关情况的介绍，听取了编制单位关于《初设报告》主要技术内容的汇报后，根据与会专家辑单位的咨询意见，编制单位进行了修改完善后，经研究，现提出如下意见：</w:t>
      </w:r>
    </w:p>
    <w:p>
      <w:pPr>
        <w:widowControl w:val="0"/>
        <w:adjustRightInd/>
        <w:snapToGrid/>
        <w:spacing w:after="0" w:line="580" w:lineRule="exact"/>
        <w:ind w:firstLine="640" w:firstLineChars="200"/>
        <w:jc w:val="both"/>
        <w:rPr>
          <w:rFonts w:ascii="方正黑体_GBK" w:hAnsi="方正黑体_GBK" w:eastAsia="方正黑体_GBK" w:cs="方正黑体_GBK"/>
          <w:color w:val="000000" w:themeColor="text1"/>
          <w:kern w:val="2"/>
          <w:sz w:val="32"/>
          <w:szCs w:val="32"/>
          <w:lang w:val="zh-CN"/>
        </w:rPr>
      </w:pPr>
      <w:r>
        <w:rPr>
          <w:rFonts w:hint="eastAsia" w:ascii="方正黑体_GBK" w:hAnsi="方正黑体_GBK" w:eastAsia="方正黑体_GBK" w:cs="方正黑体_GBK"/>
          <w:color w:val="000000" w:themeColor="text1"/>
          <w:kern w:val="2"/>
          <w:sz w:val="32"/>
          <w:szCs w:val="32"/>
          <w:lang w:val="zh-CN"/>
        </w:rPr>
        <w:t>一、工程位置及规模</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olor w:val="000000" w:themeColor="text1"/>
          <w:kern w:val="2"/>
          <w:sz w:val="32"/>
          <w:szCs w:val="32"/>
        </w:rPr>
        <w:t>巫山县大昌镇七里村水美乡村建设工程</w:t>
      </w:r>
      <w:r>
        <w:rPr>
          <w:rFonts w:hint="eastAsia" w:ascii="方正仿宋_GBK" w:hAnsi="Calibri" w:eastAsia="方正仿宋_GBK" w:cs="Times New Roman"/>
          <w:color w:val="000000" w:themeColor="text1"/>
          <w:kern w:val="2"/>
          <w:sz w:val="32"/>
          <w:szCs w:val="32"/>
        </w:rPr>
        <w:t>位于巫山县大昌镇七里村，由人居环境改善、基础设施完善、公共服务设施完善三部分组成。</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主要建设内容为：102户移民住房安全维修、建筑外立面整治、庭院整治；维修便民服务中心400㎡；改造道路2100m；新建休闲步道630m；改建文化健身活动场地2处，面积</w:t>
      </w:r>
      <w:r>
        <w:rPr>
          <w:rFonts w:ascii="方正仿宋_GBK" w:hAnsi="Calibri" w:eastAsia="方正仿宋_GBK"/>
          <w:color w:val="000000" w:themeColor="text1"/>
          <w:kern w:val="2"/>
          <w:sz w:val="32"/>
          <w:szCs w:val="32"/>
        </w:rPr>
        <w:t>1928</w:t>
      </w:r>
      <w:r>
        <w:rPr>
          <w:rFonts w:hint="eastAsia" w:ascii="方正仿宋_GBK" w:hAnsi="Calibri" w:eastAsia="方正仿宋_GBK"/>
          <w:color w:val="000000" w:themeColor="text1"/>
          <w:kern w:val="2"/>
          <w:sz w:val="32"/>
          <w:szCs w:val="32"/>
        </w:rPr>
        <w:t xml:space="preserve"> ㎡；新建文化健身活动场地1处，面积5</w:t>
      </w:r>
      <w:r>
        <w:rPr>
          <w:rFonts w:ascii="方正仿宋_GBK" w:hAnsi="Calibri" w:eastAsia="方正仿宋_GBK"/>
          <w:color w:val="000000" w:themeColor="text1"/>
          <w:kern w:val="2"/>
          <w:sz w:val="32"/>
          <w:szCs w:val="32"/>
        </w:rPr>
        <w:t>67</w:t>
      </w:r>
      <w:r>
        <w:rPr>
          <w:rFonts w:hint="eastAsia" w:ascii="方正仿宋_GBK" w:hAnsi="Calibri" w:eastAsia="方正仿宋_GBK"/>
          <w:color w:val="000000" w:themeColor="text1"/>
          <w:kern w:val="2"/>
          <w:sz w:val="32"/>
          <w:szCs w:val="32"/>
        </w:rPr>
        <w:t>㎡；新建污水管网 2381m；新建垃圾收集点6处；配套标识标牌、垃圾箱、便民照明、休闲座椅等附属设施。</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基本同意《初设报告》提出的建设规模。</w:t>
      </w:r>
    </w:p>
    <w:p>
      <w:pPr>
        <w:widowControl w:val="0"/>
        <w:adjustRightInd/>
        <w:snapToGrid/>
        <w:spacing w:after="0" w:line="580" w:lineRule="exact"/>
        <w:ind w:firstLine="640" w:firstLineChars="200"/>
        <w:jc w:val="both"/>
        <w:rPr>
          <w:rFonts w:ascii="方正黑体_GBK" w:hAnsi="方正黑体_GBK" w:eastAsia="方正黑体_GBK" w:cs="方正黑体_GBK"/>
          <w:color w:val="000000" w:themeColor="text1"/>
          <w:kern w:val="2"/>
          <w:sz w:val="32"/>
          <w:szCs w:val="32"/>
          <w:lang w:val="zh-CN"/>
        </w:rPr>
      </w:pPr>
      <w:r>
        <w:rPr>
          <w:rFonts w:hint="eastAsia" w:ascii="方正黑体_GBK" w:hAnsi="方正黑体_GBK" w:eastAsia="方正黑体_GBK" w:cs="方正黑体_GBK"/>
          <w:color w:val="000000" w:themeColor="text1"/>
          <w:kern w:val="2"/>
          <w:sz w:val="32"/>
          <w:szCs w:val="32"/>
          <w:lang w:val="zh-CN"/>
        </w:rPr>
        <w:t>二、工程布置及设计</w:t>
      </w:r>
    </w:p>
    <w:p>
      <w:pPr>
        <w:widowControl w:val="0"/>
        <w:adjustRightInd/>
        <w:snapToGrid/>
        <w:spacing w:after="0" w:line="580" w:lineRule="exact"/>
        <w:ind w:firstLine="640" w:firstLineChars="200"/>
        <w:jc w:val="both"/>
        <w:rPr>
          <w:rFonts w:ascii="方正楷体_GBK" w:hAnsi="Calibri" w:eastAsia="方正楷体_GBK"/>
          <w:color w:val="000000" w:themeColor="text1"/>
          <w:kern w:val="2"/>
          <w:sz w:val="32"/>
          <w:szCs w:val="32"/>
        </w:rPr>
      </w:pPr>
      <w:r>
        <w:rPr>
          <w:rFonts w:hint="eastAsia" w:ascii="方正楷体_GBK" w:hAnsi="Calibri" w:eastAsia="方正楷体_GBK"/>
          <w:color w:val="000000" w:themeColor="text1"/>
          <w:kern w:val="2"/>
          <w:sz w:val="32"/>
          <w:szCs w:val="32"/>
        </w:rPr>
        <w:t>（一）人居环境改善</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1．村民安置点环境提升102户，住房安全维修及外立面改造30828.78平方米，庭院整治2840平方米。</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将有饰面层破损的乳胶漆外墙面、清水砖墙面、砂浆</w:t>
      </w:r>
      <w:r>
        <w:rPr>
          <w:rFonts w:hint="eastAsia" w:ascii="方正仿宋_GBK" w:hAnsi="Calibri" w:eastAsia="方正仿宋_GBK" w:cs="Times New Roman"/>
          <w:kern w:val="2"/>
          <w:sz w:val="32"/>
          <w:szCs w:val="32"/>
        </w:rPr>
        <w:t>墙面改造为白色或米黄色乳胶漆墙面，建筑底部即一层窗台以下（约1</w:t>
      </w:r>
      <w:r>
        <w:rPr>
          <w:rFonts w:ascii="方正仿宋_GBK" w:hAnsi="Calibri" w:eastAsia="方正仿宋_GBK" w:cs="Times New Roman"/>
          <w:kern w:val="2"/>
          <w:sz w:val="32"/>
          <w:szCs w:val="32"/>
        </w:rPr>
        <w:t>1</w:t>
      </w:r>
      <w:r>
        <w:rPr>
          <w:rFonts w:hint="eastAsia" w:ascii="方正仿宋_GBK" w:hAnsi="Calibri" w:eastAsia="方正仿宋_GBK" w:cs="Times New Roman"/>
          <w:kern w:val="2"/>
          <w:sz w:val="32"/>
          <w:szCs w:val="32"/>
        </w:rPr>
        <w:t>00mm高）外墙面采用仿青砖乳胶漆饰面，分格尺寸</w:t>
      </w:r>
      <w:r>
        <w:rPr>
          <w:rFonts w:ascii="方正仿宋_GBK" w:hAnsi="Calibri" w:eastAsia="方正仿宋_GBK" w:cs="Times New Roman"/>
          <w:kern w:val="2"/>
          <w:sz w:val="32"/>
          <w:szCs w:val="32"/>
        </w:rPr>
        <w:t>400</w:t>
      </w:r>
      <w:r>
        <w:rPr>
          <w:rFonts w:hint="eastAsia" w:ascii="方正仿宋_GBK" w:hAnsi="Calibri" w:eastAsia="方正仿宋_GBK" w:cs="Times New Roman"/>
          <w:kern w:val="2"/>
          <w:sz w:val="32"/>
          <w:szCs w:val="32"/>
        </w:rPr>
        <w:t>×1</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0mm。门窗洞口采用1</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0mm宽防腐木装饰线条。临路边的房屋侧墙面进行墙面彩绘、宣传语等，以美丽乡村、爱国教育为主题，增加文化氛围，同时</w:t>
      </w:r>
      <w:r>
        <w:rPr>
          <w:rFonts w:hint="eastAsia" w:ascii="方正仿宋_GBK" w:hAnsi="Calibri" w:eastAsia="方正仿宋_GBK" w:cs="Times New Roman"/>
          <w:color w:val="000000" w:themeColor="text1"/>
          <w:kern w:val="2"/>
          <w:sz w:val="32"/>
          <w:szCs w:val="32"/>
        </w:rPr>
        <w:t>对渗水房屋进行修缮。对1</w:t>
      </w:r>
      <w:r>
        <w:rPr>
          <w:rFonts w:ascii="方正仿宋_GBK" w:hAnsi="Calibri" w:eastAsia="方正仿宋_GBK" w:cs="Times New Roman"/>
          <w:color w:val="000000" w:themeColor="text1"/>
          <w:kern w:val="2"/>
          <w:sz w:val="32"/>
          <w:szCs w:val="32"/>
        </w:rPr>
        <w:t>02</w:t>
      </w:r>
      <w:r>
        <w:rPr>
          <w:rFonts w:hint="eastAsia" w:ascii="方正仿宋_GBK" w:hAnsi="Calibri" w:eastAsia="方正仿宋_GBK" w:cs="Times New Roman"/>
          <w:color w:val="000000" w:themeColor="text1"/>
          <w:kern w:val="2"/>
          <w:sz w:val="32"/>
          <w:szCs w:val="32"/>
        </w:rPr>
        <w:t>户移民住房院落改造，院落增加花池花台，增加美感。</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2．新建村庄公共绿化3150平方米。</w:t>
      </w:r>
    </w:p>
    <w:p>
      <w:pPr>
        <w:widowControl w:val="0"/>
        <w:adjustRightInd/>
        <w:snapToGrid/>
        <w:spacing w:after="0" w:line="580" w:lineRule="exact"/>
        <w:ind w:firstLine="640" w:firstLineChars="200"/>
        <w:jc w:val="both"/>
        <w:rPr>
          <w:rFonts w:ascii="方正仿宋_GBK" w:hAnsi="Calibri" w:eastAsia="方正仿宋_GBK" w:cs="Times New Roman"/>
          <w:kern w:val="2"/>
          <w:sz w:val="32"/>
          <w:szCs w:val="32"/>
        </w:rPr>
      </w:pPr>
      <w:r>
        <w:rPr>
          <w:rFonts w:ascii="方正仿宋_GBK" w:hAnsi="Calibri" w:eastAsia="方正仿宋_GBK" w:cs="Times New Roman"/>
          <w:color w:val="000000" w:themeColor="text1"/>
          <w:kern w:val="2"/>
          <w:sz w:val="32"/>
          <w:szCs w:val="32"/>
        </w:rPr>
        <w:t>村庄公共绿化工程主要是对现有</w:t>
      </w:r>
      <w:r>
        <w:rPr>
          <w:rFonts w:hint="eastAsia" w:ascii="方正仿宋_GBK" w:hAnsi="Calibri" w:eastAsia="方正仿宋_GBK" w:cs="Times New Roman"/>
          <w:color w:val="000000" w:themeColor="text1"/>
          <w:kern w:val="2"/>
          <w:sz w:val="32"/>
          <w:szCs w:val="32"/>
        </w:rPr>
        <w:t>文化健身</w:t>
      </w:r>
      <w:r>
        <w:rPr>
          <w:rFonts w:ascii="方正仿宋_GBK" w:hAnsi="Calibri" w:eastAsia="方正仿宋_GBK" w:cs="Times New Roman"/>
          <w:color w:val="000000" w:themeColor="text1"/>
          <w:kern w:val="2"/>
          <w:sz w:val="32"/>
          <w:szCs w:val="32"/>
        </w:rPr>
        <w:t>活动空</w:t>
      </w:r>
      <w:r>
        <w:rPr>
          <w:rFonts w:ascii="方正仿宋_GBK" w:hAnsi="Calibri" w:eastAsia="方正仿宋_GBK" w:cs="Times New Roman"/>
          <w:kern w:val="2"/>
          <w:sz w:val="32"/>
          <w:szCs w:val="32"/>
        </w:rPr>
        <w:t>间</w:t>
      </w:r>
      <w:r>
        <w:rPr>
          <w:rFonts w:hint="eastAsia" w:ascii="方正仿宋_GBK" w:hAnsi="Calibri" w:eastAsia="方正仿宋_GBK" w:cs="Times New Roman"/>
          <w:kern w:val="2"/>
          <w:sz w:val="32"/>
          <w:szCs w:val="32"/>
        </w:rPr>
        <w:t>、新建文化健身活动场地增加</w:t>
      </w:r>
      <w:r>
        <w:rPr>
          <w:rFonts w:ascii="方正仿宋_GBK" w:hAnsi="Calibri" w:eastAsia="方正仿宋_GBK" w:cs="Times New Roman"/>
          <w:kern w:val="2"/>
          <w:sz w:val="32"/>
          <w:szCs w:val="32"/>
        </w:rPr>
        <w:t>绿化种植，</w:t>
      </w:r>
      <w:r>
        <w:rPr>
          <w:rFonts w:hint="eastAsia" w:ascii="方正仿宋_GBK" w:hAnsi="Calibri" w:eastAsia="方正仿宋_GBK" w:cs="Times New Roman"/>
          <w:kern w:val="2"/>
          <w:sz w:val="32"/>
          <w:szCs w:val="32"/>
        </w:rPr>
        <w:t>村庄主道路增加行道树绿化等，</w:t>
      </w:r>
      <w:r>
        <w:rPr>
          <w:rFonts w:ascii="方正仿宋_GBK" w:hAnsi="Calibri" w:eastAsia="方正仿宋_GBK" w:cs="Times New Roman"/>
          <w:kern w:val="2"/>
          <w:sz w:val="32"/>
          <w:szCs w:val="32"/>
        </w:rPr>
        <w:t>为村民提供美化和功能完善的</w:t>
      </w:r>
      <w:r>
        <w:rPr>
          <w:rFonts w:hint="eastAsia" w:ascii="方正仿宋_GBK" w:hAnsi="Calibri" w:eastAsia="方正仿宋_GBK" w:cs="Times New Roman"/>
          <w:kern w:val="2"/>
          <w:sz w:val="32"/>
          <w:szCs w:val="32"/>
        </w:rPr>
        <w:t>公共绿化空间。乔木主要采用香樟、桂花、小叶榕、朴树等，开花小乔木采用樱花、精品红枫，灌木及地被主要采用红叶石楠、春娟、棕竹、红花六月雪等</w:t>
      </w:r>
      <w:r>
        <w:rPr>
          <w:rFonts w:ascii="方正仿宋_GBK" w:hAnsi="Calibri" w:eastAsia="方正仿宋_GBK" w:cs="Times New Roman"/>
          <w:kern w:val="2"/>
          <w:sz w:val="32"/>
          <w:szCs w:val="32"/>
        </w:rPr>
        <w:t>。</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3．生态休闲步道。</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olor w:val="000000" w:themeColor="text1"/>
          <w:kern w:val="2"/>
          <w:sz w:val="32"/>
          <w:szCs w:val="32"/>
        </w:rPr>
        <w:t>新建休闲步道630m，宽</w:t>
      </w:r>
      <w:r>
        <w:rPr>
          <w:rFonts w:ascii="方正仿宋_GBK" w:hAnsi="Calibri" w:eastAsia="方正仿宋_GBK"/>
          <w:color w:val="000000" w:themeColor="text1"/>
          <w:kern w:val="2"/>
          <w:sz w:val="32"/>
          <w:szCs w:val="32"/>
        </w:rPr>
        <w:t>2</w:t>
      </w:r>
      <w:r>
        <w:rPr>
          <w:rFonts w:hint="eastAsia" w:ascii="方正仿宋_GBK" w:hAnsi="Calibri" w:eastAsia="方正仿宋_GBK"/>
          <w:color w:val="000000" w:themeColor="text1"/>
          <w:kern w:val="2"/>
          <w:sz w:val="32"/>
          <w:szCs w:val="32"/>
        </w:rPr>
        <w:t>米，打造为村民休闲漫步、游客观光体验的湖岸生态休闲步道。</w:t>
      </w:r>
      <w:r>
        <w:rPr>
          <w:rFonts w:hint="eastAsia" w:ascii="方正仿宋_GBK" w:hAnsi="Calibri" w:eastAsia="方正仿宋_GBK" w:cs="Times New Roman"/>
          <w:color w:val="000000" w:themeColor="text1"/>
          <w:kern w:val="2"/>
          <w:sz w:val="32"/>
          <w:szCs w:val="32"/>
        </w:rPr>
        <w:t>休闲步道设计方案避开坡度较大地段，主要为平直段，路基夯实找平，</w:t>
      </w:r>
      <w:r>
        <w:rPr>
          <w:rFonts w:ascii="方正仿宋_GBK" w:hAnsi="Calibri" w:eastAsia="方正仿宋_GBK" w:cs="Times New Roman"/>
          <w:color w:val="000000" w:themeColor="text1"/>
          <w:kern w:val="2"/>
          <w:sz w:val="32"/>
          <w:szCs w:val="32"/>
        </w:rPr>
        <w:t>2</w:t>
      </w:r>
      <w:r>
        <w:rPr>
          <w:rFonts w:hint="eastAsia" w:ascii="方正仿宋_GBK" w:hAnsi="Calibri" w:eastAsia="方正仿宋_GBK" w:cs="Times New Roman"/>
          <w:color w:val="000000" w:themeColor="text1"/>
          <w:kern w:val="2"/>
          <w:sz w:val="32"/>
          <w:szCs w:val="32"/>
        </w:rPr>
        <w:t>m宽人行便道分为平直段和梯步段，平直段选200*400*30青石机切面收边，30厚虎皮石冰裂纹拼；梯步步高150mm，步宽300mm，选30厚300x500青石錾道纹面踏步。路面每隔5m预留一条伸缩缝，缝宽2～5mm。</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4．垃圾收集点及分类垃圾箱。</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s="Times New Roman"/>
          <w:kern w:val="2"/>
          <w:sz w:val="32"/>
          <w:szCs w:val="32"/>
        </w:rPr>
        <w:t>以移民点组团现状布置</w:t>
      </w:r>
      <w:r>
        <w:rPr>
          <w:rFonts w:hint="eastAsia" w:ascii="方正仿宋_GBK" w:hAnsi="Calibri" w:eastAsia="方正仿宋_GBK"/>
          <w:color w:val="000000" w:themeColor="text1"/>
          <w:kern w:val="2"/>
          <w:sz w:val="32"/>
          <w:szCs w:val="32"/>
        </w:rPr>
        <w:t>新建垃圾收集点</w:t>
      </w:r>
      <w:r>
        <w:rPr>
          <w:rFonts w:ascii="方正仿宋_GBK" w:hAnsi="Calibri" w:eastAsia="方正仿宋_GBK"/>
          <w:color w:val="000000" w:themeColor="text1"/>
          <w:kern w:val="2"/>
          <w:sz w:val="32"/>
          <w:szCs w:val="32"/>
        </w:rPr>
        <w:t>6</w:t>
      </w:r>
      <w:r>
        <w:rPr>
          <w:rFonts w:hint="eastAsia" w:ascii="方正仿宋_GBK" w:hAnsi="Calibri" w:eastAsia="方正仿宋_GBK"/>
          <w:color w:val="000000" w:themeColor="text1"/>
          <w:kern w:val="2"/>
          <w:sz w:val="32"/>
          <w:szCs w:val="32"/>
        </w:rPr>
        <w:t>处；</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在休闲活动广场、移民聚集点、村路口等设置成品分类垃圾箱</w:t>
      </w:r>
      <w:r>
        <w:rPr>
          <w:rFonts w:ascii="方正仿宋_GBK" w:hAnsi="Calibri" w:eastAsia="方正仿宋_GBK"/>
          <w:color w:val="000000" w:themeColor="text1"/>
          <w:kern w:val="2"/>
          <w:sz w:val="32"/>
          <w:szCs w:val="32"/>
        </w:rPr>
        <w:t>13</w:t>
      </w:r>
      <w:r>
        <w:rPr>
          <w:rFonts w:hint="eastAsia" w:ascii="方正仿宋_GBK" w:hAnsi="Calibri" w:eastAsia="方正仿宋_GBK"/>
          <w:color w:val="000000" w:themeColor="text1"/>
          <w:kern w:val="2"/>
          <w:sz w:val="32"/>
          <w:szCs w:val="32"/>
        </w:rPr>
        <w:t>个。</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s="Times New Roman"/>
          <w:color w:val="000000" w:themeColor="text1"/>
          <w:kern w:val="2"/>
          <w:sz w:val="32"/>
          <w:szCs w:val="32"/>
        </w:rPr>
        <w:t>5．</w:t>
      </w:r>
      <w:r>
        <w:rPr>
          <w:rFonts w:hint="eastAsia" w:ascii="方正仿宋_GBK" w:hAnsi="Calibri" w:eastAsia="方正仿宋_GBK"/>
          <w:color w:val="000000" w:themeColor="text1"/>
          <w:kern w:val="2"/>
          <w:sz w:val="32"/>
          <w:szCs w:val="32"/>
        </w:rPr>
        <w:t>村入口形象标识。</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s="Times New Roman"/>
          <w:color w:val="000000" w:themeColor="text1"/>
          <w:kern w:val="2"/>
          <w:sz w:val="32"/>
          <w:szCs w:val="32"/>
        </w:rPr>
        <w:t>新建村入口标识2处，</w:t>
      </w:r>
      <w:r>
        <w:rPr>
          <w:rFonts w:hint="eastAsia" w:ascii="方正仿宋_GBK" w:hAnsi="Calibri" w:eastAsia="方正仿宋_GBK"/>
          <w:color w:val="000000" w:themeColor="text1"/>
          <w:kern w:val="2"/>
          <w:sz w:val="32"/>
          <w:szCs w:val="32"/>
        </w:rPr>
        <w:t>形象标识底座采用C</w:t>
      </w:r>
      <w:r>
        <w:rPr>
          <w:rFonts w:ascii="方正仿宋_GBK" w:hAnsi="Calibri" w:eastAsia="方正仿宋_GBK"/>
          <w:color w:val="000000" w:themeColor="text1"/>
          <w:kern w:val="2"/>
          <w:sz w:val="32"/>
          <w:szCs w:val="32"/>
        </w:rPr>
        <w:t>20</w:t>
      </w:r>
      <w:r>
        <w:rPr>
          <w:rFonts w:hint="eastAsia" w:ascii="方正仿宋_GBK" w:hAnsi="Calibri" w:eastAsia="方正仿宋_GBK"/>
          <w:color w:val="000000" w:themeColor="text1"/>
          <w:kern w:val="2"/>
          <w:sz w:val="32"/>
          <w:szCs w:val="32"/>
        </w:rPr>
        <w:t>混凝土浇筑，2</w:t>
      </w:r>
      <w:r>
        <w:rPr>
          <w:rFonts w:ascii="方正仿宋_GBK" w:hAnsi="Calibri" w:eastAsia="方正仿宋_GBK"/>
          <w:color w:val="000000" w:themeColor="text1"/>
          <w:kern w:val="2"/>
          <w:sz w:val="32"/>
          <w:szCs w:val="32"/>
        </w:rPr>
        <w:t>0</w:t>
      </w:r>
      <w:r>
        <w:rPr>
          <w:rFonts w:hint="eastAsia" w:ascii="方正仿宋_GBK" w:hAnsi="Calibri" w:eastAsia="方正仿宋_GBK"/>
          <w:color w:val="000000" w:themeColor="text1"/>
          <w:kern w:val="2"/>
          <w:sz w:val="32"/>
          <w:szCs w:val="32"/>
        </w:rPr>
        <w:t>mm厚文化石贴面，标识牌采用不锈钢制作外刷仿木纹色漆。</w:t>
      </w:r>
    </w:p>
    <w:p>
      <w:pPr>
        <w:widowControl w:val="0"/>
        <w:adjustRightInd/>
        <w:snapToGrid/>
        <w:spacing w:after="0" w:line="580" w:lineRule="exact"/>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在路口设置方向指示牌2处，指示牌立柱高2</w:t>
      </w:r>
      <w:r>
        <w:rPr>
          <w:rFonts w:ascii="方正仿宋_GBK" w:hAnsi="Calibri" w:eastAsia="方正仿宋_GBK"/>
          <w:color w:val="000000" w:themeColor="text1"/>
          <w:kern w:val="2"/>
          <w:sz w:val="32"/>
          <w:szCs w:val="32"/>
        </w:rPr>
        <w:t>.5</w:t>
      </w:r>
      <w:r>
        <w:rPr>
          <w:rFonts w:hint="eastAsia" w:ascii="方正仿宋_GBK" w:hAnsi="Calibri" w:eastAsia="方正仿宋_GBK"/>
          <w:color w:val="000000" w:themeColor="text1"/>
          <w:kern w:val="2"/>
          <w:sz w:val="32"/>
          <w:szCs w:val="32"/>
        </w:rPr>
        <w:t>m，采用1</w:t>
      </w:r>
      <w:r>
        <w:rPr>
          <w:rFonts w:ascii="方正仿宋_GBK" w:hAnsi="Calibri" w:eastAsia="方正仿宋_GBK"/>
          <w:color w:val="000000" w:themeColor="text1"/>
          <w:kern w:val="2"/>
          <w:sz w:val="32"/>
          <w:szCs w:val="32"/>
        </w:rPr>
        <w:t>.5</w:t>
      </w:r>
      <w:r>
        <w:rPr>
          <w:rFonts w:hint="eastAsia" w:ascii="方正仿宋_GBK" w:hAnsi="Calibri" w:eastAsia="方正仿宋_GBK"/>
          <w:color w:val="000000" w:themeColor="text1"/>
          <w:kern w:val="2"/>
          <w:sz w:val="32"/>
          <w:szCs w:val="32"/>
        </w:rPr>
        <w:t>mm镀锌板木纹烤漆饰面。</w:t>
      </w:r>
    </w:p>
    <w:p>
      <w:pPr>
        <w:widowControl w:val="0"/>
        <w:adjustRightInd/>
        <w:snapToGrid/>
        <w:spacing w:after="0" w:line="580" w:lineRule="exact"/>
        <w:ind w:firstLine="566" w:firstLineChars="177"/>
        <w:rPr>
          <w:rFonts w:ascii="方正楷体_GBK" w:hAnsi="Calibri" w:eastAsia="方正楷体_GBK" w:cs="Times New Roman"/>
          <w:color w:val="000000" w:themeColor="text1"/>
          <w:kern w:val="2"/>
          <w:sz w:val="32"/>
          <w:szCs w:val="32"/>
        </w:rPr>
      </w:pPr>
      <w:r>
        <w:rPr>
          <w:rFonts w:hint="eastAsia" w:ascii="方正楷体_GBK" w:hAnsi="Calibri" w:eastAsia="方正楷体_GBK" w:cs="Times New Roman"/>
          <w:color w:val="000000" w:themeColor="text1"/>
          <w:kern w:val="2"/>
          <w:sz w:val="32"/>
          <w:szCs w:val="32"/>
        </w:rPr>
        <w:t>（二）基础设施完善</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1．道路升级改造。</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村庄主要道路七里村段，路面结构为水泥混凝土路面，路线总长2100.0</w:t>
      </w:r>
      <w:r>
        <w:rPr>
          <w:rFonts w:ascii="方正仿宋_GBK" w:hAnsi="Calibri" w:eastAsia="方正仿宋_GBK" w:cs="Times New Roman"/>
          <w:color w:val="000000" w:themeColor="text1"/>
          <w:kern w:val="2"/>
          <w:sz w:val="32"/>
          <w:szCs w:val="32"/>
        </w:rPr>
        <w:t>0</w:t>
      </w:r>
      <w:r>
        <w:rPr>
          <w:rFonts w:hint="eastAsia" w:ascii="方正仿宋_GBK" w:hAnsi="Calibri" w:eastAsia="方正仿宋_GBK" w:cs="Times New Roman"/>
          <w:color w:val="000000" w:themeColor="text1"/>
          <w:kern w:val="2"/>
          <w:sz w:val="32"/>
          <w:szCs w:val="32"/>
        </w:rPr>
        <w:t>m，现状路基宽5</w:t>
      </w:r>
      <w:r>
        <w:rPr>
          <w:rFonts w:ascii="方正仿宋_GBK" w:hAnsi="Calibri" w:eastAsia="方正仿宋_GBK" w:cs="Times New Roman"/>
          <w:color w:val="000000" w:themeColor="text1"/>
          <w:kern w:val="2"/>
          <w:sz w:val="32"/>
          <w:szCs w:val="32"/>
        </w:rPr>
        <w:t>.</w:t>
      </w:r>
      <w:r>
        <w:rPr>
          <w:rFonts w:hint="eastAsia" w:ascii="方正仿宋_GBK" w:hAnsi="Calibri" w:eastAsia="方正仿宋_GBK" w:cs="Times New Roman"/>
          <w:color w:val="000000" w:themeColor="text1"/>
          <w:kern w:val="2"/>
          <w:sz w:val="32"/>
          <w:szCs w:val="32"/>
        </w:rPr>
        <w:t>5m。对路面进行油化，利用原有道路加铺沥青路面，原水泥混凝土路面整修清理后加铺沥青面层。工程方案为：</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修复基层→（拉毛原路面）→喷油→铺土工布（洒布橡胶沥青→洒布沥青碎石）→碾压→摊铺10</w:t>
      </w:r>
      <w:r>
        <w:rPr>
          <w:rFonts w:hint="eastAsia" w:ascii="方正仿宋_GBK" w:hAnsi="Calibri" w:eastAsia="方正仿宋_GBK" w:cs="Times New Roman"/>
          <w:color w:val="000000" w:themeColor="text1"/>
          <w:kern w:val="2"/>
          <w:sz w:val="32"/>
          <w:szCs w:val="32"/>
        </w:rPr>
        <w:t>cm改性沥青混凝土</w:t>
      </w:r>
      <w:r>
        <w:rPr>
          <w:rFonts w:ascii="方正仿宋_GBK" w:hAnsi="Calibri" w:eastAsia="方正仿宋_GBK" w:cs="Times New Roman"/>
          <w:color w:val="000000" w:themeColor="text1"/>
          <w:kern w:val="2"/>
          <w:sz w:val="32"/>
          <w:szCs w:val="32"/>
        </w:rPr>
        <w:t>→碾压</w:t>
      </w:r>
      <w:r>
        <w:rPr>
          <w:rFonts w:hint="eastAsia" w:ascii="方正仿宋_GBK" w:hAnsi="Calibri" w:eastAsia="方正仿宋_GBK" w:cs="Times New Roman"/>
          <w:color w:val="000000" w:themeColor="text1"/>
          <w:kern w:val="2"/>
          <w:sz w:val="32"/>
          <w:szCs w:val="32"/>
        </w:rPr>
        <w:t>。</w:t>
      </w:r>
    </w:p>
    <w:p>
      <w:pPr>
        <w:widowControl w:val="0"/>
        <w:adjustRightInd/>
        <w:snapToGrid/>
        <w:spacing w:after="0" w:line="580" w:lineRule="exact"/>
        <w:ind w:firstLine="566" w:firstLineChars="177"/>
        <w:rPr>
          <w:rFonts w:ascii="方正仿宋_GBK" w:hAnsi="Calibri" w:eastAsia="方正仿宋_GBK" w:cs="Times New Roman"/>
          <w:kern w:val="2"/>
          <w:sz w:val="32"/>
          <w:szCs w:val="32"/>
        </w:rPr>
      </w:pPr>
      <w:r>
        <w:rPr>
          <w:rFonts w:hint="eastAsia" w:ascii="方正仿宋_GBK" w:hAnsi="Calibri" w:eastAsia="方正仿宋_GBK" w:cs="Times New Roman"/>
          <w:color w:val="000000" w:themeColor="text1"/>
          <w:kern w:val="2"/>
          <w:sz w:val="32"/>
          <w:szCs w:val="32"/>
        </w:rPr>
        <w:t>硬化人行步道。长度100米、宽1</w:t>
      </w:r>
      <w:r>
        <w:rPr>
          <w:rFonts w:ascii="方正仿宋_GBK" w:hAnsi="Calibri" w:eastAsia="方正仿宋_GBK" w:cs="Times New Roman"/>
          <w:color w:val="000000" w:themeColor="text1"/>
          <w:kern w:val="2"/>
          <w:sz w:val="32"/>
          <w:szCs w:val="32"/>
        </w:rPr>
        <w:t>.2</w:t>
      </w:r>
      <w:r>
        <w:rPr>
          <w:rFonts w:hint="eastAsia" w:ascii="方正仿宋_GBK" w:hAnsi="Calibri" w:eastAsia="方正仿宋_GBK" w:cs="Times New Roman"/>
          <w:color w:val="000000" w:themeColor="text1"/>
          <w:kern w:val="2"/>
          <w:sz w:val="32"/>
          <w:szCs w:val="32"/>
        </w:rPr>
        <w:t>米，</w:t>
      </w:r>
      <w:r>
        <w:rPr>
          <w:rFonts w:hint="eastAsia" w:ascii="方正仿宋_GBK" w:hAnsi="Calibri" w:eastAsia="方正仿宋_GBK" w:cs="Times New Roman"/>
          <w:kern w:val="2"/>
          <w:sz w:val="32"/>
          <w:szCs w:val="32"/>
        </w:rPr>
        <w:t>对移民点现状泥土路人行步道进行硬化，路面采用2</w:t>
      </w:r>
      <w:r>
        <w:rPr>
          <w:rFonts w:ascii="方正仿宋_GBK" w:hAnsi="Calibri" w:eastAsia="方正仿宋_GBK" w:cs="Times New Roman"/>
          <w:kern w:val="2"/>
          <w:sz w:val="32"/>
          <w:szCs w:val="32"/>
        </w:rPr>
        <w:t>0</w:t>
      </w:r>
      <w:r>
        <w:rPr>
          <w:rFonts w:hint="eastAsia" w:ascii="方正仿宋_GBK" w:hAnsi="Calibri" w:eastAsia="方正仿宋_GBK" w:cs="Times New Roman"/>
          <w:kern w:val="2"/>
          <w:sz w:val="32"/>
          <w:szCs w:val="32"/>
        </w:rPr>
        <w:t>厚虎皮石碎拼。</w:t>
      </w:r>
    </w:p>
    <w:p>
      <w:pPr>
        <w:widowControl w:val="0"/>
        <w:adjustRightInd/>
        <w:snapToGrid/>
        <w:spacing w:after="0" w:line="580" w:lineRule="exact"/>
        <w:ind w:firstLine="566" w:firstLineChars="177"/>
        <w:rPr>
          <w:rFonts w:ascii="方正仿宋_GBK" w:hAnsi="Calibri" w:eastAsia="方正仿宋_GBK" w:cs="Times New Roman"/>
          <w:kern w:val="2"/>
          <w:sz w:val="32"/>
          <w:szCs w:val="32"/>
        </w:rPr>
      </w:pPr>
      <w:r>
        <w:rPr>
          <w:rFonts w:hint="eastAsia" w:ascii="方正仿宋_GBK" w:hAnsi="Calibri" w:eastAsia="方正仿宋_GBK" w:cs="Times New Roman"/>
          <w:color w:val="000000" w:themeColor="text1"/>
          <w:kern w:val="2"/>
          <w:sz w:val="32"/>
          <w:szCs w:val="32"/>
        </w:rPr>
        <w:t>硬化生产道，长度245米，宽3</w:t>
      </w:r>
      <w:r>
        <w:rPr>
          <w:rFonts w:ascii="方正仿宋_GBK" w:hAnsi="Calibri" w:eastAsia="方正仿宋_GBK" w:cs="Times New Roman"/>
          <w:color w:val="000000" w:themeColor="text1"/>
          <w:kern w:val="2"/>
          <w:sz w:val="32"/>
          <w:szCs w:val="32"/>
        </w:rPr>
        <w:t>.0</w:t>
      </w:r>
      <w:r>
        <w:rPr>
          <w:rFonts w:hint="eastAsia" w:ascii="方正仿宋_GBK" w:hAnsi="Calibri" w:eastAsia="方正仿宋_GBK" w:cs="Times New Roman"/>
          <w:color w:val="000000" w:themeColor="text1"/>
          <w:kern w:val="2"/>
          <w:sz w:val="32"/>
          <w:szCs w:val="32"/>
        </w:rPr>
        <w:t>米，</w:t>
      </w:r>
      <w:r>
        <w:rPr>
          <w:rFonts w:hint="eastAsia" w:ascii="方正仿宋_GBK" w:hAnsi="Calibri" w:eastAsia="方正仿宋_GBK" w:cs="Times New Roman"/>
          <w:kern w:val="2"/>
          <w:sz w:val="32"/>
          <w:szCs w:val="32"/>
        </w:rPr>
        <w:t>现状路面为土路，需</w:t>
      </w:r>
      <w:r>
        <w:rPr>
          <w:rFonts w:ascii="方正仿宋_GBK" w:hAnsi="Calibri" w:eastAsia="方正仿宋_GBK" w:cs="Times New Roman"/>
          <w:kern w:val="2"/>
          <w:sz w:val="32"/>
          <w:szCs w:val="32"/>
        </w:rPr>
        <w:t>路面进行平整压实，再浇筑路肩，路基采用200cm厚碎石基础，路面为20cm厚C25砼路面</w:t>
      </w:r>
      <w:r>
        <w:rPr>
          <w:rFonts w:hint="eastAsia" w:ascii="方正仿宋_GBK" w:hAnsi="Calibri" w:eastAsia="方正仿宋_GBK" w:cs="Times New Roman"/>
          <w:kern w:val="2"/>
          <w:sz w:val="32"/>
          <w:szCs w:val="32"/>
        </w:rPr>
        <w:t>。</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2．污水管网</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污水管网工程部分主要工程内容为：新建污水管网2381km（不含入户管），排水明渠41m，污水检查井102座，一体化污水处理设施1套。</w:t>
      </w:r>
      <w:bookmarkStart w:id="0" w:name="_Toc8796"/>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基本设计参数</w:t>
      </w:r>
      <w:bookmarkEnd w:id="0"/>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（1）最大控制设计流速：《室外排水设计规范》（GB50014-2021）塑料管道最大设计流速为5m/s</w:t>
      </w:r>
      <w:r>
        <w:rPr>
          <w:rFonts w:hint="eastAsia" w:ascii="方正仿宋_GBK" w:hAnsi="Calibri" w:eastAsia="方正仿宋_GBK" w:cs="Times New Roman"/>
          <w:color w:val="000000" w:themeColor="text1"/>
          <w:kern w:val="2"/>
          <w:sz w:val="32"/>
          <w:szCs w:val="32"/>
        </w:rPr>
        <w:t>，金属</w:t>
      </w:r>
      <w:r>
        <w:rPr>
          <w:rFonts w:ascii="方正仿宋_GBK" w:hAnsi="Calibri" w:eastAsia="方正仿宋_GBK" w:cs="Times New Roman"/>
          <w:color w:val="000000" w:themeColor="text1"/>
          <w:kern w:val="2"/>
          <w:sz w:val="32"/>
          <w:szCs w:val="32"/>
        </w:rPr>
        <w:t>管道最大设计流速为</w:t>
      </w:r>
      <w:r>
        <w:rPr>
          <w:rFonts w:hint="eastAsia" w:ascii="方正仿宋_GBK" w:hAnsi="Calibri" w:eastAsia="方正仿宋_GBK" w:cs="Times New Roman"/>
          <w:color w:val="000000" w:themeColor="text1"/>
          <w:kern w:val="2"/>
          <w:sz w:val="32"/>
          <w:szCs w:val="32"/>
        </w:rPr>
        <w:t>10</w:t>
      </w:r>
      <w:r>
        <w:rPr>
          <w:rFonts w:ascii="方正仿宋_GBK" w:hAnsi="Calibri" w:eastAsia="方正仿宋_GBK" w:cs="Times New Roman"/>
          <w:color w:val="000000" w:themeColor="text1"/>
          <w:kern w:val="2"/>
          <w:sz w:val="32"/>
          <w:szCs w:val="32"/>
        </w:rPr>
        <w:t>m/s</w:t>
      </w:r>
      <w:r>
        <w:rPr>
          <w:rFonts w:hint="eastAsia" w:ascii="方正仿宋_GBK" w:hAnsi="Calibri" w:eastAsia="方正仿宋_GBK" w:cs="Times New Roman"/>
          <w:color w:val="000000" w:themeColor="text1"/>
          <w:kern w:val="2"/>
          <w:sz w:val="32"/>
          <w:szCs w:val="32"/>
        </w:rPr>
        <w:t>，</w:t>
      </w:r>
      <w:r>
        <w:rPr>
          <w:rFonts w:ascii="方正仿宋_GBK" w:hAnsi="Calibri" w:eastAsia="方正仿宋_GBK" w:cs="Times New Roman"/>
          <w:color w:val="000000" w:themeColor="text1"/>
          <w:kern w:val="2"/>
          <w:sz w:val="32"/>
          <w:szCs w:val="32"/>
        </w:rPr>
        <w:t>混凝土明渠最大设计流速为4m/s</w:t>
      </w:r>
      <w:r>
        <w:rPr>
          <w:rFonts w:hint="eastAsia" w:ascii="方正仿宋_GBK" w:hAnsi="Calibri" w:eastAsia="方正仿宋_GBK" w:cs="Times New Roman"/>
          <w:color w:val="000000" w:themeColor="text1"/>
          <w:kern w:val="2"/>
          <w:sz w:val="32"/>
          <w:szCs w:val="32"/>
        </w:rPr>
        <w:t>（</w:t>
      </w:r>
      <w:r>
        <w:rPr>
          <w:rFonts w:ascii="方正仿宋_GBK" w:hAnsi="Calibri" w:eastAsia="方正仿宋_GBK" w:cs="Times New Roman"/>
          <w:color w:val="000000" w:themeColor="text1"/>
          <w:kern w:val="2"/>
          <w:sz w:val="32"/>
          <w:szCs w:val="32"/>
        </w:rPr>
        <w:t>当水流深度小于0.4米时，按最大设计流速乘以0.85计算即3.4m/s</w:t>
      </w:r>
      <w:r>
        <w:rPr>
          <w:rFonts w:hint="eastAsia" w:ascii="方正仿宋_GBK" w:hAnsi="Calibri" w:eastAsia="方正仿宋_GBK" w:cs="Times New Roman"/>
          <w:color w:val="000000" w:themeColor="text1"/>
          <w:kern w:val="2"/>
          <w:sz w:val="32"/>
          <w:szCs w:val="32"/>
        </w:rPr>
        <w:t>）</w:t>
      </w:r>
      <w:r>
        <w:rPr>
          <w:rFonts w:ascii="方正仿宋_GBK" w:hAnsi="Calibri" w:eastAsia="方正仿宋_GBK" w:cs="Times New Roman"/>
          <w:color w:val="000000" w:themeColor="text1"/>
          <w:kern w:val="2"/>
          <w:sz w:val="32"/>
          <w:szCs w:val="32"/>
        </w:rPr>
        <w:t>；</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（2）最小控制流速：塑料管道最</w:t>
      </w:r>
      <w:r>
        <w:rPr>
          <w:rFonts w:hint="eastAsia" w:ascii="方正仿宋_GBK" w:hAnsi="Calibri" w:eastAsia="方正仿宋_GBK" w:cs="Times New Roman"/>
          <w:color w:val="000000" w:themeColor="text1"/>
          <w:kern w:val="2"/>
          <w:sz w:val="32"/>
          <w:szCs w:val="32"/>
        </w:rPr>
        <w:t>小</w:t>
      </w:r>
      <w:r>
        <w:rPr>
          <w:rFonts w:ascii="方正仿宋_GBK" w:hAnsi="Calibri" w:eastAsia="方正仿宋_GBK" w:cs="Times New Roman"/>
          <w:color w:val="000000" w:themeColor="text1"/>
          <w:kern w:val="2"/>
          <w:sz w:val="32"/>
          <w:szCs w:val="32"/>
        </w:rPr>
        <w:t>设计流速为0.6m/s</w:t>
      </w:r>
      <w:r>
        <w:rPr>
          <w:rFonts w:hint="eastAsia" w:ascii="方正仿宋_GBK" w:hAnsi="Calibri" w:eastAsia="方正仿宋_GBK" w:cs="Times New Roman"/>
          <w:color w:val="000000" w:themeColor="text1"/>
          <w:kern w:val="2"/>
          <w:sz w:val="32"/>
          <w:szCs w:val="32"/>
        </w:rPr>
        <w:t>，</w:t>
      </w:r>
      <w:r>
        <w:rPr>
          <w:rFonts w:ascii="方正仿宋_GBK" w:hAnsi="Calibri" w:eastAsia="方正仿宋_GBK" w:cs="Times New Roman"/>
          <w:color w:val="000000" w:themeColor="text1"/>
          <w:kern w:val="2"/>
          <w:sz w:val="32"/>
          <w:szCs w:val="32"/>
        </w:rPr>
        <w:t>明渠最小设计流速为0.4m/s；</w:t>
      </w:r>
    </w:p>
    <w:p>
      <w:pPr>
        <w:widowControl w:val="0"/>
        <w:adjustRightInd/>
        <w:snapToGrid/>
        <w:spacing w:after="0" w:line="580" w:lineRule="exact"/>
        <w:ind w:firstLine="566" w:firstLineChars="177"/>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（3）污水管道按非满流设计，其最大设计充满度按下表：</w:t>
      </w:r>
    </w:p>
    <w:p>
      <w:pPr>
        <w:widowControl w:val="0"/>
        <w:adjustRightInd/>
        <w:snapToGrid/>
        <w:spacing w:after="0" w:line="580" w:lineRule="exact"/>
        <w:ind w:firstLine="566" w:firstLineChars="177"/>
        <w:jc w:val="center"/>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管道最大设计充满度充满度</w:t>
      </w:r>
    </w:p>
    <w:tbl>
      <w:tblPr>
        <w:tblStyle w:val="14"/>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1"/>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1" w:type="dxa"/>
            <w:vAlign w:val="center"/>
          </w:tcPr>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管  径（mm）</w:t>
            </w:r>
          </w:p>
        </w:tc>
        <w:tc>
          <w:tcPr>
            <w:tcW w:w="4417" w:type="dxa"/>
            <w:vAlign w:val="center"/>
          </w:tcPr>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最大设计充满度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1" w:type="dxa"/>
            <w:vAlign w:val="center"/>
          </w:tcPr>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300</w:t>
            </w:r>
          </w:p>
        </w:tc>
        <w:tc>
          <w:tcPr>
            <w:tcW w:w="4417" w:type="dxa"/>
            <w:vAlign w:val="center"/>
          </w:tcPr>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0.55</w:t>
            </w:r>
          </w:p>
        </w:tc>
      </w:tr>
    </w:tbl>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（4）最小管径与最小设计坡度：市政排水管最小管径控制在d300，</w:t>
      </w:r>
      <w:r>
        <w:rPr>
          <w:rFonts w:hint="eastAsia" w:ascii="方正仿宋_GBK" w:hAnsi="Calibri" w:eastAsia="方正仿宋_GBK" w:cs="Times New Roman"/>
          <w:color w:val="000000" w:themeColor="text1"/>
          <w:kern w:val="2"/>
          <w:sz w:val="32"/>
          <w:szCs w:val="32"/>
        </w:rPr>
        <w:t>塑料管</w:t>
      </w:r>
      <w:r>
        <w:rPr>
          <w:rFonts w:ascii="方正仿宋_GBK" w:hAnsi="Calibri" w:eastAsia="方正仿宋_GBK" w:cs="Times New Roman"/>
          <w:color w:val="000000" w:themeColor="text1"/>
          <w:kern w:val="2"/>
          <w:sz w:val="32"/>
          <w:szCs w:val="32"/>
        </w:rPr>
        <w:t>最小设计坡度控制在i=0.00</w:t>
      </w:r>
      <w:r>
        <w:rPr>
          <w:rFonts w:hint="eastAsia" w:ascii="方正仿宋_GBK" w:hAnsi="Calibri" w:eastAsia="方正仿宋_GBK" w:cs="Times New Roman"/>
          <w:color w:val="000000" w:themeColor="text1"/>
          <w:kern w:val="2"/>
          <w:sz w:val="32"/>
          <w:szCs w:val="32"/>
        </w:rPr>
        <w:t>3</w:t>
      </w:r>
      <w:r>
        <w:rPr>
          <w:rFonts w:ascii="方正仿宋_GBK" w:hAnsi="Calibri" w:eastAsia="方正仿宋_GBK" w:cs="Times New Roman"/>
          <w:color w:val="000000" w:themeColor="text1"/>
          <w:kern w:val="2"/>
          <w:sz w:val="32"/>
          <w:szCs w:val="32"/>
        </w:rPr>
        <w:t>；</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（5）管材粗糙系数，塑料管取0.01，球墨铸铁管取0.012</w:t>
      </w:r>
      <w:r>
        <w:rPr>
          <w:rFonts w:hint="eastAsia" w:ascii="方正仿宋_GBK" w:hAnsi="Calibri" w:eastAsia="方正仿宋_GBK" w:cs="Times New Roman"/>
          <w:color w:val="000000" w:themeColor="text1"/>
          <w:kern w:val="2"/>
          <w:sz w:val="32"/>
          <w:szCs w:val="32"/>
        </w:rPr>
        <w:t>，</w:t>
      </w:r>
      <w:r>
        <w:rPr>
          <w:rFonts w:ascii="方正仿宋_GBK" w:hAnsi="Calibri" w:eastAsia="方正仿宋_GBK" w:cs="Times New Roman"/>
          <w:color w:val="000000" w:themeColor="text1"/>
          <w:kern w:val="2"/>
          <w:sz w:val="32"/>
          <w:szCs w:val="32"/>
        </w:rPr>
        <w:t>本工程排水管道均采用管顶平接。</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ascii="方正仿宋_GBK" w:hAnsi="Calibri" w:eastAsia="方正仿宋_GBK" w:cs="Times New Roman"/>
          <w:color w:val="000000" w:themeColor="text1"/>
          <w:kern w:val="2"/>
          <w:sz w:val="32"/>
          <w:szCs w:val="32"/>
        </w:rPr>
        <w:t>管道布置：污水管网</w:t>
      </w:r>
      <w:r>
        <w:rPr>
          <w:rFonts w:hint="eastAsia" w:ascii="方正仿宋_GBK" w:hAnsi="Calibri" w:eastAsia="方正仿宋_GBK" w:cs="Times New Roman"/>
          <w:color w:val="000000" w:themeColor="text1"/>
          <w:kern w:val="2"/>
          <w:sz w:val="32"/>
          <w:szCs w:val="32"/>
        </w:rPr>
        <w:t>自东向西、自北向南布置，</w:t>
      </w:r>
      <w:r>
        <w:rPr>
          <w:rFonts w:ascii="方正仿宋_GBK" w:hAnsi="Calibri" w:eastAsia="方正仿宋_GBK" w:cs="Times New Roman"/>
          <w:color w:val="000000" w:themeColor="text1"/>
          <w:kern w:val="2"/>
          <w:sz w:val="32"/>
          <w:szCs w:val="32"/>
        </w:rPr>
        <w:t>收集两侧居民生活污水，</w:t>
      </w:r>
      <w:r>
        <w:rPr>
          <w:rFonts w:hint="eastAsia" w:ascii="方正仿宋_GBK" w:hAnsi="Calibri" w:eastAsia="方正仿宋_GBK" w:cs="Times New Roman"/>
          <w:color w:val="000000" w:themeColor="text1"/>
          <w:kern w:val="2"/>
          <w:sz w:val="32"/>
          <w:szCs w:val="32"/>
        </w:rPr>
        <w:t>依次接入南侧管网（W15-</w:t>
      </w:r>
      <w:r>
        <w:rPr>
          <w:rFonts w:hint="eastAsia" w:ascii="方正仿宋_GBK" w:hAnsi="Calibri" w:eastAsia="方正仿宋_GBK" w:cs="Times New Roman"/>
          <w:color w:val="000000" w:themeColor="text1"/>
          <w:kern w:val="2"/>
          <w:sz w:val="32"/>
          <w:szCs w:val="32"/>
        </w:rPr>
        <w:tab/>
      </w:r>
      <w:r>
        <w:rPr>
          <w:rFonts w:hint="eastAsia" w:ascii="方正仿宋_GBK" w:hAnsi="Calibri" w:eastAsia="方正仿宋_GBK" w:cs="Times New Roman"/>
          <w:color w:val="000000" w:themeColor="text1"/>
          <w:kern w:val="2"/>
          <w:sz w:val="32"/>
          <w:szCs w:val="32"/>
        </w:rPr>
        <w:t>W24），</w:t>
      </w:r>
      <w:r>
        <w:rPr>
          <w:rFonts w:ascii="方正仿宋_GBK" w:hAnsi="Calibri" w:eastAsia="方正仿宋_GBK" w:cs="Times New Roman"/>
          <w:color w:val="000000" w:themeColor="text1"/>
          <w:kern w:val="2"/>
          <w:sz w:val="32"/>
          <w:szCs w:val="32"/>
        </w:rPr>
        <w:t>并在</w:t>
      </w:r>
      <w:r>
        <w:rPr>
          <w:rFonts w:hint="eastAsia" w:ascii="方正仿宋_GBK" w:hAnsi="Calibri" w:eastAsia="方正仿宋_GBK" w:cs="Times New Roman"/>
          <w:color w:val="000000" w:themeColor="text1"/>
          <w:kern w:val="2"/>
          <w:sz w:val="32"/>
          <w:szCs w:val="32"/>
        </w:rPr>
        <w:t>W24检查井处</w:t>
      </w:r>
      <w:r>
        <w:rPr>
          <w:rFonts w:ascii="方正仿宋_GBK" w:hAnsi="Calibri" w:eastAsia="方正仿宋_GBK" w:cs="Times New Roman"/>
          <w:color w:val="000000" w:themeColor="text1"/>
          <w:kern w:val="2"/>
          <w:sz w:val="32"/>
          <w:szCs w:val="32"/>
        </w:rPr>
        <w:t>接入新建</w:t>
      </w:r>
      <w:r>
        <w:rPr>
          <w:rFonts w:hint="eastAsia" w:ascii="方正仿宋_GBK" w:hAnsi="Calibri" w:eastAsia="方正仿宋_GBK" w:cs="Times New Roman"/>
          <w:color w:val="000000" w:themeColor="text1"/>
          <w:kern w:val="2"/>
          <w:sz w:val="32"/>
          <w:szCs w:val="32"/>
        </w:rPr>
        <w:t>一体化</w:t>
      </w:r>
      <w:r>
        <w:rPr>
          <w:rFonts w:ascii="方正仿宋_GBK" w:hAnsi="Calibri" w:eastAsia="方正仿宋_GBK" w:cs="Times New Roman"/>
          <w:color w:val="000000" w:themeColor="text1"/>
          <w:kern w:val="2"/>
          <w:sz w:val="32"/>
          <w:szCs w:val="32"/>
        </w:rPr>
        <w:t>污水处理</w:t>
      </w:r>
      <w:r>
        <w:rPr>
          <w:rFonts w:hint="eastAsia" w:ascii="方正仿宋_GBK" w:hAnsi="Calibri" w:eastAsia="方正仿宋_GBK" w:cs="Times New Roman"/>
          <w:color w:val="000000" w:themeColor="text1"/>
          <w:kern w:val="2"/>
          <w:sz w:val="32"/>
          <w:szCs w:val="32"/>
        </w:rPr>
        <w:t>设备</w:t>
      </w:r>
      <w:r>
        <w:rPr>
          <w:rFonts w:ascii="方正仿宋_GBK" w:hAnsi="Calibri" w:eastAsia="方正仿宋_GBK" w:cs="Times New Roman"/>
          <w:color w:val="000000" w:themeColor="text1"/>
          <w:kern w:val="2"/>
          <w:sz w:val="32"/>
          <w:szCs w:val="32"/>
        </w:rPr>
        <w:t>（X 3463817.374，Y 383850.219）进行处理，出水</w:t>
      </w:r>
      <w:r>
        <w:rPr>
          <w:rFonts w:hint="eastAsia" w:ascii="方正仿宋_GBK" w:hAnsi="Calibri" w:eastAsia="方正仿宋_GBK" w:cs="Times New Roman"/>
          <w:color w:val="000000" w:themeColor="text1"/>
          <w:kern w:val="2"/>
          <w:sz w:val="32"/>
          <w:szCs w:val="32"/>
        </w:rPr>
        <w:t>排放至新建明渠。</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3．便民照明设施</w:t>
      </w:r>
    </w:p>
    <w:p>
      <w:pPr>
        <w:widowControl w:val="0"/>
        <w:adjustRightInd/>
        <w:snapToGrid/>
        <w:spacing w:after="0" w:line="580" w:lineRule="exact"/>
        <w:ind w:firstLine="640" w:firstLineChars="200"/>
        <w:jc w:val="both"/>
        <w:rPr>
          <w:rFonts w:ascii="方正仿宋_GBK" w:hAnsi="Calibri" w:eastAsia="方正仿宋_GBK"/>
          <w:color w:val="000000" w:themeColor="text1"/>
          <w:kern w:val="2"/>
          <w:sz w:val="32"/>
          <w:szCs w:val="32"/>
        </w:rPr>
      </w:pPr>
      <w:r>
        <w:rPr>
          <w:rFonts w:hint="eastAsia" w:ascii="方正仿宋_GBK" w:hAnsi="Calibri" w:eastAsia="方正仿宋_GBK"/>
          <w:color w:val="000000" w:themeColor="text1"/>
          <w:kern w:val="2"/>
          <w:sz w:val="32"/>
          <w:szCs w:val="32"/>
        </w:rPr>
        <w:t>在移民聚集点、文化健身活动广场、主要村庄道路安装太阳能路灯，路灯沿道路单侧安装，安装间距取</w:t>
      </w:r>
      <w:r>
        <w:rPr>
          <w:rFonts w:ascii="方正仿宋_GBK" w:hAnsi="Calibri" w:eastAsia="方正仿宋_GBK"/>
          <w:color w:val="000000" w:themeColor="text1"/>
          <w:kern w:val="2"/>
          <w:sz w:val="32"/>
          <w:szCs w:val="32"/>
        </w:rPr>
        <w:t>30</w:t>
      </w:r>
      <w:r>
        <w:rPr>
          <w:rFonts w:hint="eastAsia" w:ascii="方正仿宋_GBK" w:hAnsi="Calibri" w:eastAsia="方正仿宋_GBK"/>
          <w:color w:val="000000" w:themeColor="text1"/>
          <w:kern w:val="2"/>
          <w:sz w:val="32"/>
          <w:szCs w:val="32"/>
        </w:rPr>
        <w:t>~</w:t>
      </w:r>
      <w:r>
        <w:rPr>
          <w:rFonts w:ascii="方正仿宋_GBK" w:hAnsi="Calibri" w:eastAsia="方正仿宋_GBK"/>
          <w:color w:val="000000" w:themeColor="text1"/>
          <w:kern w:val="2"/>
          <w:sz w:val="32"/>
          <w:szCs w:val="32"/>
        </w:rPr>
        <w:t>40</w:t>
      </w:r>
      <w:r>
        <w:rPr>
          <w:rFonts w:hint="eastAsia" w:ascii="方正仿宋_GBK" w:hAnsi="Calibri" w:eastAsia="方正仿宋_GBK"/>
          <w:color w:val="000000" w:themeColor="text1"/>
          <w:kern w:val="2"/>
          <w:sz w:val="32"/>
          <w:szCs w:val="32"/>
        </w:rPr>
        <w:t>m，设计共安装路灯</w:t>
      </w:r>
      <w:r>
        <w:rPr>
          <w:rFonts w:ascii="方正仿宋_GBK" w:hAnsi="Calibri" w:eastAsia="方正仿宋_GBK"/>
          <w:color w:val="000000" w:themeColor="text1"/>
          <w:kern w:val="2"/>
          <w:sz w:val="32"/>
          <w:szCs w:val="32"/>
        </w:rPr>
        <w:t>50</w:t>
      </w:r>
      <w:r>
        <w:rPr>
          <w:rFonts w:hint="eastAsia" w:ascii="方正仿宋_GBK" w:hAnsi="Calibri" w:eastAsia="方正仿宋_GBK"/>
          <w:color w:val="000000" w:themeColor="text1"/>
          <w:kern w:val="2"/>
          <w:sz w:val="32"/>
          <w:szCs w:val="32"/>
        </w:rPr>
        <w:t>盏。</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4．公共服务设施完善</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（1）维修便民服务中心。</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ascii="方正仿宋_GBK" w:hAnsi="Calibri" w:eastAsia="方正仿宋_GBK"/>
          <w:color w:val="000000" w:themeColor="text1"/>
          <w:kern w:val="2"/>
          <w:sz w:val="32"/>
          <w:szCs w:val="32"/>
        </w:rPr>
        <w:t>对</w:t>
      </w:r>
      <w:r>
        <w:rPr>
          <w:rFonts w:hint="eastAsia" w:ascii="方正仿宋_GBK" w:hAnsi="Calibri" w:eastAsia="方正仿宋_GBK"/>
          <w:color w:val="000000" w:themeColor="text1"/>
          <w:kern w:val="2"/>
          <w:sz w:val="32"/>
          <w:szCs w:val="32"/>
        </w:rPr>
        <w:t>七里村村</w:t>
      </w:r>
      <w:r>
        <w:rPr>
          <w:rFonts w:ascii="方正仿宋_GBK" w:hAnsi="Calibri" w:eastAsia="方正仿宋_GBK"/>
          <w:color w:val="000000" w:themeColor="text1"/>
          <w:kern w:val="2"/>
          <w:sz w:val="32"/>
          <w:szCs w:val="32"/>
        </w:rPr>
        <w:t>便民服务点外立面</w:t>
      </w:r>
      <w:r>
        <w:rPr>
          <w:rFonts w:hint="eastAsia" w:ascii="方正仿宋_GBK" w:hAnsi="Calibri" w:eastAsia="方正仿宋_GBK"/>
          <w:color w:val="000000" w:themeColor="text1"/>
          <w:kern w:val="2"/>
          <w:sz w:val="32"/>
          <w:szCs w:val="32"/>
        </w:rPr>
        <w:t>提升</w:t>
      </w:r>
      <w:r>
        <w:rPr>
          <w:rFonts w:ascii="方正仿宋_GBK" w:hAnsi="Calibri" w:eastAsia="方正仿宋_GBK"/>
          <w:color w:val="000000" w:themeColor="text1"/>
          <w:kern w:val="2"/>
          <w:sz w:val="32"/>
          <w:szCs w:val="32"/>
        </w:rPr>
        <w:t>改造，</w:t>
      </w:r>
      <w:r>
        <w:rPr>
          <w:rFonts w:hint="eastAsia" w:ascii="方正仿宋_GBK" w:hAnsi="Calibri" w:eastAsia="方正仿宋_GBK"/>
          <w:color w:val="000000" w:themeColor="text1"/>
          <w:kern w:val="2"/>
          <w:sz w:val="32"/>
          <w:szCs w:val="32"/>
        </w:rPr>
        <w:t>立面改造面积</w:t>
      </w:r>
      <w:r>
        <w:rPr>
          <w:rFonts w:ascii="方正仿宋_GBK" w:hAnsi="Calibri" w:eastAsia="方正仿宋_GBK"/>
          <w:color w:val="000000" w:themeColor="text1"/>
          <w:kern w:val="2"/>
          <w:sz w:val="32"/>
          <w:szCs w:val="32"/>
        </w:rPr>
        <w:t>400</w:t>
      </w:r>
      <w:r>
        <w:rPr>
          <w:rFonts w:hint="eastAsia" w:ascii="方正仿宋_GBK" w:hAnsi="Calibri" w:eastAsia="方正仿宋_GBK"/>
          <w:color w:val="000000" w:themeColor="text1"/>
          <w:kern w:val="2"/>
          <w:sz w:val="32"/>
          <w:szCs w:val="32"/>
        </w:rPr>
        <w:t>平方米。便民服务中心</w:t>
      </w:r>
      <w:r>
        <w:rPr>
          <w:rFonts w:hint="eastAsia" w:ascii="方正仿宋_GBK" w:hAnsi="Calibri" w:eastAsia="方正仿宋_GBK" w:cs="Times New Roman"/>
          <w:kern w:val="2"/>
          <w:sz w:val="32"/>
          <w:szCs w:val="32"/>
        </w:rPr>
        <w:t>建筑一层建筑外墙面采用仿青砖乳胶漆饰面，分格尺寸</w:t>
      </w:r>
      <w:r>
        <w:rPr>
          <w:rFonts w:ascii="方正仿宋_GBK" w:hAnsi="Calibri" w:eastAsia="方正仿宋_GBK" w:cs="Times New Roman"/>
          <w:kern w:val="2"/>
          <w:sz w:val="32"/>
          <w:szCs w:val="32"/>
        </w:rPr>
        <w:t>400</w:t>
      </w:r>
      <w:r>
        <w:rPr>
          <w:rFonts w:hint="eastAsia" w:ascii="方正仿宋_GBK" w:hAnsi="Calibri" w:eastAsia="方正仿宋_GBK" w:cs="Times New Roman"/>
          <w:kern w:val="2"/>
          <w:sz w:val="32"/>
          <w:szCs w:val="32"/>
        </w:rPr>
        <w:t>×1</w:t>
      </w:r>
      <w:r>
        <w:rPr>
          <w:rFonts w:ascii="方正仿宋_GBK" w:hAnsi="Calibri" w:eastAsia="方正仿宋_GBK" w:cs="Times New Roman"/>
          <w:kern w:val="2"/>
          <w:sz w:val="32"/>
          <w:szCs w:val="32"/>
        </w:rPr>
        <w:t>5</w:t>
      </w:r>
      <w:r>
        <w:rPr>
          <w:rFonts w:hint="eastAsia" w:ascii="方正仿宋_GBK" w:hAnsi="Calibri" w:eastAsia="方正仿宋_GBK" w:cs="Times New Roman"/>
          <w:kern w:val="2"/>
          <w:sz w:val="32"/>
          <w:szCs w:val="32"/>
        </w:rPr>
        <w:t>0mm。</w:t>
      </w:r>
      <w:r>
        <w:rPr>
          <w:rFonts w:hint="eastAsia" w:ascii="方正仿宋_GBK" w:hAnsi="Calibri" w:eastAsia="方正仿宋_GBK"/>
          <w:color w:val="000000" w:themeColor="text1"/>
          <w:kern w:val="2"/>
          <w:sz w:val="32"/>
          <w:szCs w:val="32"/>
        </w:rPr>
        <w:t>二三层外墙面改造为白色乳胶漆墙面</w:t>
      </w:r>
      <w:r>
        <w:rPr>
          <w:rFonts w:hint="eastAsia" w:ascii="方正仿宋_GBK" w:hAnsi="Calibri" w:eastAsia="方正仿宋_GBK" w:cs="Times New Roman"/>
          <w:color w:val="000000" w:themeColor="text1"/>
          <w:kern w:val="2"/>
          <w:sz w:val="32"/>
          <w:szCs w:val="32"/>
        </w:rPr>
        <w:t>，窗户外沿增加1</w:t>
      </w:r>
      <w:r>
        <w:rPr>
          <w:rFonts w:ascii="方正仿宋_GBK" w:hAnsi="Calibri" w:eastAsia="方正仿宋_GBK" w:cs="Times New Roman"/>
          <w:color w:val="000000" w:themeColor="text1"/>
          <w:kern w:val="2"/>
          <w:sz w:val="32"/>
          <w:szCs w:val="32"/>
        </w:rPr>
        <w:t>50</w:t>
      </w:r>
      <w:r>
        <w:rPr>
          <w:rFonts w:hint="eastAsia" w:ascii="方正仿宋_GBK" w:hAnsi="Calibri" w:eastAsia="方正仿宋_GBK" w:cs="Times New Roman"/>
          <w:color w:val="000000" w:themeColor="text1"/>
          <w:kern w:val="2"/>
          <w:sz w:val="32"/>
          <w:szCs w:val="32"/>
        </w:rPr>
        <w:t>mm宽木框包边，窗户上部增加坡檐，临路侧墙面进行墙面彩绘、宣传语。</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（2）文化健身活动场地</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提升改造七里村现有文化休闲活动场地2处，分别位于村便民服务中心广场和七里文化活动广场，其中，村便民服务中心文化活动场地，占地面积约817.2m2；七里文化活动场地，占地面积1111.5m2，新增文化活动场地一处，面积567.0m2。</w:t>
      </w:r>
    </w:p>
    <w:p>
      <w:pPr>
        <w:widowControl w:val="0"/>
        <w:adjustRightInd/>
        <w:snapToGrid/>
        <w:spacing w:after="0" w:line="580" w:lineRule="exact"/>
        <w:ind w:firstLine="643" w:firstLineChars="200"/>
        <w:jc w:val="both"/>
        <w:rPr>
          <w:rFonts w:ascii="方正仿宋_GBK" w:hAnsi="Calibri" w:eastAsia="方正仿宋_GBK" w:cs="Times New Roman"/>
          <w:b/>
          <w:color w:val="000000" w:themeColor="text1"/>
          <w:kern w:val="2"/>
          <w:sz w:val="32"/>
          <w:szCs w:val="32"/>
        </w:rPr>
      </w:pPr>
      <w:r>
        <w:rPr>
          <w:rFonts w:hint="eastAsia" w:ascii="方正仿宋_GBK" w:hAnsi="Calibri" w:eastAsia="方正仿宋_GBK" w:cs="Times New Roman"/>
          <w:b/>
          <w:color w:val="000000" w:themeColor="text1"/>
          <w:kern w:val="2"/>
          <w:sz w:val="32"/>
          <w:szCs w:val="32"/>
        </w:rPr>
        <w:t>七里村便民服务中心广场场地改造方案：</w:t>
      </w:r>
    </w:p>
    <w:p>
      <w:pPr>
        <w:widowControl w:val="0"/>
        <w:adjustRightInd/>
        <w:snapToGrid/>
        <w:spacing w:after="0" w:line="580" w:lineRule="exact"/>
        <w:ind w:firstLine="640" w:firstLineChars="200"/>
        <w:jc w:val="both"/>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①保留村委广场原有大树，对篮球场地地坪进行重新铺设并画线，地坪采用2mm双丙聚氨酯封面，基层保持现状不变。</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Calibri" w:hAnsi="Calibri" w:eastAsia="方正仿宋_GBK" w:cs="Calibri"/>
          <w:color w:val="000000" w:themeColor="text1"/>
          <w:kern w:val="2"/>
          <w:sz w:val="32"/>
          <w:szCs w:val="32"/>
        </w:rPr>
        <w:t>②</w:t>
      </w:r>
      <w:r>
        <w:rPr>
          <w:rFonts w:hint="eastAsia" w:ascii="方正仿宋_GBK" w:hAnsi="Calibri" w:eastAsia="方正仿宋_GBK" w:cs="Times New Roman"/>
          <w:color w:val="000000" w:themeColor="text1"/>
          <w:kern w:val="2"/>
          <w:sz w:val="32"/>
          <w:szCs w:val="32"/>
        </w:rPr>
        <w:t>对该场地南侧边缘现有文化墙进行彩绘，主题为红色文化题材彩绘，墙绘通过画面的形式生动的展示</w:t>
      </w:r>
      <w:r>
        <w:fldChar w:fldCharType="begin"/>
      </w:r>
      <w:r>
        <w:instrText xml:space="preserve"> HYPERLINK "https://baike.so.com/doc/1475840-1560614.html" \t "https://baike.so.com/doc/_blank" </w:instrText>
      </w:r>
      <w:r>
        <w:fldChar w:fldCharType="separate"/>
      </w:r>
      <w:r>
        <w:rPr>
          <w:rFonts w:hint="eastAsia" w:ascii="方正仿宋_GBK" w:hAnsi="Calibri" w:eastAsia="方正仿宋_GBK" w:cs="Times New Roman"/>
          <w:color w:val="000000" w:themeColor="text1"/>
          <w:kern w:val="2"/>
          <w:sz w:val="32"/>
          <w:szCs w:val="32"/>
        </w:rPr>
        <w:t>中国共产党</w:t>
      </w:r>
      <w:r>
        <w:rPr>
          <w:rFonts w:hint="eastAsia" w:ascii="方正仿宋_GBK" w:hAnsi="Calibri" w:eastAsia="方正仿宋_GBK" w:cs="Times New Roman"/>
          <w:color w:val="000000" w:themeColor="text1"/>
          <w:kern w:val="2"/>
          <w:sz w:val="32"/>
          <w:szCs w:val="32"/>
        </w:rPr>
        <w:fldChar w:fldCharType="end"/>
      </w:r>
      <w:r>
        <w:rPr>
          <w:rFonts w:hint="eastAsia" w:ascii="方正仿宋_GBK" w:hAnsi="Calibri" w:eastAsia="方正仿宋_GBK" w:cs="Times New Roman"/>
          <w:color w:val="000000" w:themeColor="text1"/>
          <w:kern w:val="2"/>
          <w:sz w:val="32"/>
          <w:szCs w:val="32"/>
        </w:rPr>
        <w:t xml:space="preserve">人、先进分子和人民群众先进的精神面貌和历史文化内涵，突出“红色”主题，成为七里村一道亮丽的风景线。彩绘的详细内容由专业彩绘机构进行二次深化设计。 </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ascii="Calibri" w:hAnsi="Calibri" w:eastAsia="方正仿宋_GBK" w:cs="Calibri"/>
          <w:color w:val="000000" w:themeColor="text1"/>
          <w:kern w:val="2"/>
          <w:sz w:val="32"/>
          <w:szCs w:val="32"/>
        </w:rPr>
        <w:t>③</w:t>
      </w:r>
      <w:r>
        <w:rPr>
          <w:rFonts w:hint="eastAsia" w:ascii="方正仿宋_GBK" w:hAnsi="Calibri" w:eastAsia="方正仿宋_GBK" w:cs="Times New Roman"/>
          <w:color w:val="000000" w:themeColor="text1"/>
          <w:kern w:val="2"/>
          <w:sz w:val="32"/>
          <w:szCs w:val="32"/>
        </w:rPr>
        <w:t>增设景观廊架健身器材、树池、坐凳等休闲设施，拆除并更换篮球架，以上设施成品厂家采购安装。</w:t>
      </w:r>
    </w:p>
    <w:p>
      <w:pPr>
        <w:widowControl w:val="0"/>
        <w:adjustRightInd/>
        <w:snapToGrid/>
        <w:spacing w:after="0" w:line="580" w:lineRule="exact"/>
        <w:ind w:firstLine="643" w:firstLineChars="200"/>
        <w:rPr>
          <w:rFonts w:ascii="方正仿宋_GBK" w:hAnsi="Calibri" w:eastAsia="方正仿宋_GBK" w:cs="Times New Roman"/>
          <w:b/>
          <w:color w:val="000000" w:themeColor="text1"/>
          <w:kern w:val="2"/>
          <w:sz w:val="32"/>
          <w:szCs w:val="32"/>
        </w:rPr>
      </w:pPr>
      <w:r>
        <w:rPr>
          <w:rFonts w:hint="eastAsia" w:ascii="方正仿宋_GBK" w:hAnsi="Calibri" w:eastAsia="方正仿宋_GBK" w:cs="Times New Roman"/>
          <w:b/>
          <w:color w:val="000000" w:themeColor="text1"/>
          <w:kern w:val="2"/>
          <w:sz w:val="32"/>
          <w:szCs w:val="32"/>
        </w:rPr>
        <w:t>七里文化活动场地改造方案：</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根据场地现状条件及业主需求，广场主要分为上下两层，现有广场铺装效果良好；广场内有树池、健身器材、设备房、乒乓球桌等散乱分布，整体效果较差。</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设计上整个文化广场铺装及台阶延用原有的形式不改变，保留上侧广场现有树池；沿道路一侧增加绿化带，广场内部适当加入树池、绿化带等。</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在原有的广场边缘增加绿化带，新增乡村大舞台、廊架、健身器材等，可供村民组织大型的节日表演活动、参观、休闲等。整个广场风格体现出浓厚的乡村气息。</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种植设计：主要乔木为“小叶榕、樱花、红枫、朴树，桂花”；主要地被为“春鹃、红叶石楠、红花六月雪、混播草坪”。</w:t>
      </w:r>
    </w:p>
    <w:p>
      <w:pPr>
        <w:widowControl w:val="0"/>
        <w:adjustRightInd/>
        <w:snapToGrid/>
        <w:spacing w:after="0" w:line="580" w:lineRule="exact"/>
        <w:ind w:firstLine="643" w:firstLineChars="200"/>
        <w:rPr>
          <w:rFonts w:ascii="方正仿宋_GBK" w:hAnsi="Calibri" w:eastAsia="方正仿宋_GBK" w:cs="Times New Roman"/>
          <w:b/>
          <w:color w:val="000000" w:themeColor="text1"/>
          <w:kern w:val="2"/>
          <w:sz w:val="32"/>
          <w:szCs w:val="32"/>
        </w:rPr>
      </w:pPr>
      <w:r>
        <w:rPr>
          <w:rFonts w:hint="eastAsia" w:ascii="方正仿宋_GBK" w:hAnsi="Calibri" w:eastAsia="方正仿宋_GBK" w:cs="Times New Roman"/>
          <w:b/>
          <w:color w:val="000000" w:themeColor="text1"/>
          <w:kern w:val="2"/>
          <w:sz w:val="32"/>
          <w:szCs w:val="32"/>
        </w:rPr>
        <w:t>新增文化活动场地：</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a.结合地形，活动场地采取为架空的形式，主要分为活动区与生态停车位，活动区平台宽6米，长25米左右，一侧为景观廊架、另一侧增加健身器材等。</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b.原有电线杆保留，在其周围设计小范围的绿化带，外侧新增景墙景观；地面铺装选择有乡土元素的材质，风格突出乡村特色。</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（3）配套休闲座椅、休闲亭廊。</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沿休闲步道、村民休憩公共节点设置</w:t>
      </w:r>
      <w:r>
        <w:rPr>
          <w:rFonts w:ascii="方正仿宋_GBK" w:hAnsi="Calibri" w:eastAsia="方正仿宋_GBK" w:cs="Times New Roman"/>
          <w:color w:val="000000" w:themeColor="text1"/>
          <w:kern w:val="2"/>
          <w:sz w:val="32"/>
          <w:szCs w:val="32"/>
        </w:rPr>
        <w:t>休闲亭</w:t>
      </w:r>
      <w:r>
        <w:rPr>
          <w:rFonts w:hint="eastAsia" w:ascii="方正仿宋_GBK" w:hAnsi="Calibri" w:eastAsia="方正仿宋_GBK" w:cs="Times New Roman"/>
          <w:color w:val="000000" w:themeColor="text1"/>
          <w:kern w:val="2"/>
          <w:sz w:val="32"/>
          <w:szCs w:val="32"/>
        </w:rPr>
        <w:t>廊4个、休闲</w:t>
      </w:r>
      <w:r>
        <w:rPr>
          <w:rFonts w:ascii="方正仿宋_GBK" w:hAnsi="Calibri" w:eastAsia="方正仿宋_GBK" w:cs="Times New Roman"/>
          <w:color w:val="000000" w:themeColor="text1"/>
          <w:kern w:val="2"/>
          <w:sz w:val="32"/>
          <w:szCs w:val="32"/>
        </w:rPr>
        <w:t>座椅</w:t>
      </w:r>
      <w:r>
        <w:rPr>
          <w:rFonts w:hint="eastAsia" w:ascii="方正仿宋_GBK" w:hAnsi="Calibri" w:eastAsia="方正仿宋_GBK" w:cs="Times New Roman"/>
          <w:color w:val="000000" w:themeColor="text1"/>
          <w:kern w:val="2"/>
          <w:sz w:val="32"/>
          <w:szCs w:val="32"/>
        </w:rPr>
        <w:t>7套，主要满足村民及游客室外休憩功能</w:t>
      </w:r>
      <w:r>
        <w:rPr>
          <w:rFonts w:ascii="方正仿宋_GBK" w:hAnsi="Calibri" w:eastAsia="方正仿宋_GBK" w:cs="Times New Roman"/>
          <w:color w:val="000000" w:themeColor="text1"/>
          <w:kern w:val="2"/>
          <w:sz w:val="32"/>
          <w:szCs w:val="32"/>
        </w:rPr>
        <w:t>。</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基本同意工程布置及设计。</w:t>
      </w:r>
    </w:p>
    <w:p>
      <w:pPr>
        <w:widowControl w:val="0"/>
        <w:adjustRightInd/>
        <w:snapToGrid/>
        <w:spacing w:after="0" w:line="580" w:lineRule="exact"/>
        <w:ind w:firstLine="640" w:firstLineChars="200"/>
        <w:rPr>
          <w:rFonts w:ascii="方正黑体_GBK" w:hAnsi="Calibri" w:eastAsia="方正黑体_GBK" w:cs="Times New Roman"/>
          <w:bCs/>
          <w:color w:val="000000" w:themeColor="text1"/>
          <w:kern w:val="2"/>
          <w:sz w:val="32"/>
          <w:szCs w:val="32"/>
        </w:rPr>
      </w:pPr>
      <w:r>
        <w:rPr>
          <w:rFonts w:hint="eastAsia" w:ascii="方正黑体_GBK" w:hAnsi="Calibri" w:eastAsia="方正黑体_GBK" w:cs="Times New Roman"/>
          <w:bCs/>
          <w:color w:val="000000" w:themeColor="text1"/>
          <w:kern w:val="2"/>
          <w:sz w:val="32"/>
          <w:szCs w:val="32"/>
        </w:rPr>
        <w:t>三、工程施工</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基本同意施工组织方案。工程施工总工期为</w:t>
      </w:r>
      <w:r>
        <w:rPr>
          <w:rFonts w:ascii="方正仿宋_GBK" w:hAnsi="Calibri" w:eastAsia="方正仿宋_GBK" w:cs="Times New Roman"/>
          <w:color w:val="000000" w:themeColor="text1"/>
          <w:kern w:val="2"/>
          <w:sz w:val="32"/>
          <w:szCs w:val="32"/>
        </w:rPr>
        <w:t>12</w:t>
      </w:r>
      <w:r>
        <w:rPr>
          <w:rFonts w:hint="eastAsia" w:ascii="方正仿宋_GBK" w:hAnsi="Calibri" w:eastAsia="方正仿宋_GBK" w:cs="Times New Roman"/>
          <w:color w:val="000000" w:themeColor="text1"/>
          <w:kern w:val="2"/>
          <w:sz w:val="32"/>
          <w:szCs w:val="32"/>
        </w:rPr>
        <w:t>个月。</w:t>
      </w:r>
    </w:p>
    <w:p>
      <w:pPr>
        <w:widowControl w:val="0"/>
        <w:adjustRightInd/>
        <w:snapToGrid/>
        <w:spacing w:after="0" w:line="580" w:lineRule="exact"/>
        <w:ind w:firstLine="640" w:firstLineChars="200"/>
        <w:rPr>
          <w:rFonts w:ascii="方正黑体_GBK" w:hAnsi="Calibri" w:eastAsia="方正黑体_GBK" w:cs="Times New Roman"/>
          <w:bCs/>
          <w:color w:val="000000" w:themeColor="text1"/>
          <w:kern w:val="2"/>
          <w:sz w:val="32"/>
          <w:szCs w:val="32"/>
        </w:rPr>
      </w:pPr>
      <w:r>
        <w:rPr>
          <w:rFonts w:hint="eastAsia" w:ascii="方正黑体_GBK" w:hAnsi="Calibri" w:eastAsia="方正黑体_GBK" w:cs="Times New Roman"/>
          <w:bCs/>
          <w:color w:val="000000" w:themeColor="text1"/>
          <w:kern w:val="2"/>
          <w:sz w:val="32"/>
          <w:szCs w:val="32"/>
        </w:rPr>
        <w:t>四、环境保护与水土保持评价</w:t>
      </w:r>
    </w:p>
    <w:p>
      <w:pPr>
        <w:widowControl w:val="0"/>
        <w:adjustRightInd/>
        <w:snapToGrid/>
        <w:spacing w:after="0" w:line="580" w:lineRule="exact"/>
        <w:ind w:firstLine="640" w:firstLineChars="200"/>
        <w:rPr>
          <w:rFonts w:ascii="方正楷体_GBK" w:hAnsi="Calibri" w:eastAsia="方正楷体_GBK" w:cs="Times New Roman"/>
          <w:color w:val="000000" w:themeColor="text1"/>
          <w:kern w:val="2"/>
          <w:sz w:val="32"/>
          <w:szCs w:val="32"/>
        </w:rPr>
      </w:pPr>
      <w:r>
        <w:rPr>
          <w:rFonts w:hint="eastAsia" w:ascii="方正楷体_GBK" w:hAnsi="Calibri" w:eastAsia="方正楷体_GBK" w:cs="Times New Roman"/>
          <w:color w:val="000000" w:themeColor="text1"/>
          <w:kern w:val="2"/>
          <w:sz w:val="32"/>
          <w:szCs w:val="32"/>
        </w:rPr>
        <w:t>（一）环境影响评价</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基本同意环境影响的防治措施。</w:t>
      </w:r>
    </w:p>
    <w:p>
      <w:pPr>
        <w:widowControl w:val="0"/>
        <w:adjustRightInd/>
        <w:snapToGrid/>
        <w:spacing w:after="0" w:line="580" w:lineRule="exact"/>
        <w:ind w:firstLine="640" w:firstLineChars="200"/>
        <w:rPr>
          <w:rFonts w:ascii="方正楷体_GBK" w:hAnsi="Calibri" w:eastAsia="方正楷体_GBK" w:cs="Times New Roman"/>
          <w:color w:val="000000" w:themeColor="text1"/>
          <w:kern w:val="2"/>
          <w:sz w:val="32"/>
          <w:szCs w:val="32"/>
        </w:rPr>
      </w:pPr>
      <w:r>
        <w:rPr>
          <w:rFonts w:hint="eastAsia" w:ascii="方正楷体_GBK" w:hAnsi="Calibri" w:eastAsia="方正楷体_GBK" w:cs="Times New Roman"/>
          <w:color w:val="000000" w:themeColor="text1"/>
          <w:kern w:val="2"/>
          <w:sz w:val="32"/>
          <w:szCs w:val="32"/>
        </w:rPr>
        <w:t>（二）水土保持</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基本同意水土流失的防治措施。</w:t>
      </w:r>
    </w:p>
    <w:p>
      <w:pPr>
        <w:widowControl w:val="0"/>
        <w:adjustRightInd/>
        <w:snapToGrid/>
        <w:spacing w:after="0" w:line="580" w:lineRule="exact"/>
        <w:ind w:firstLine="640" w:firstLineChars="200"/>
        <w:rPr>
          <w:rFonts w:ascii="方正黑体_GBK" w:hAnsi="Calibri" w:eastAsia="方正黑体_GBK" w:cs="Times New Roman"/>
          <w:bCs/>
          <w:color w:val="000000" w:themeColor="text1"/>
          <w:kern w:val="2"/>
          <w:sz w:val="32"/>
          <w:szCs w:val="32"/>
        </w:rPr>
      </w:pPr>
      <w:r>
        <w:rPr>
          <w:rFonts w:hint="eastAsia" w:ascii="方正黑体_GBK" w:hAnsi="Calibri" w:eastAsia="方正黑体_GBK" w:cs="Times New Roman"/>
          <w:bCs/>
          <w:color w:val="000000" w:themeColor="text1"/>
          <w:kern w:val="2"/>
          <w:sz w:val="32"/>
          <w:szCs w:val="32"/>
        </w:rPr>
        <w:t>五、工程建设及管理</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同意《初设报告》提出的工程建设管理方案。</w:t>
      </w:r>
    </w:p>
    <w:p>
      <w:pPr>
        <w:widowControl w:val="0"/>
        <w:adjustRightInd/>
        <w:snapToGrid/>
        <w:spacing w:after="0" w:line="580" w:lineRule="exact"/>
        <w:ind w:firstLine="640" w:firstLineChars="200"/>
        <w:rPr>
          <w:rFonts w:ascii="方正黑体_GBK" w:hAnsi="Calibri" w:eastAsia="方正黑体_GBK" w:cs="Times New Roman"/>
          <w:bCs/>
          <w:color w:val="000000" w:themeColor="text1"/>
          <w:kern w:val="2"/>
          <w:sz w:val="32"/>
          <w:szCs w:val="32"/>
        </w:rPr>
      </w:pPr>
      <w:r>
        <w:rPr>
          <w:rFonts w:hint="eastAsia" w:ascii="方正黑体_GBK" w:hAnsi="Calibri" w:eastAsia="方正黑体_GBK" w:cs="Times New Roman"/>
          <w:bCs/>
          <w:color w:val="000000" w:themeColor="text1"/>
          <w:kern w:val="2"/>
          <w:sz w:val="32"/>
          <w:szCs w:val="32"/>
        </w:rPr>
        <w:t>六、投资概算</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lang w:val="zh-CN"/>
        </w:rPr>
      </w:pPr>
      <w:r>
        <w:rPr>
          <w:rFonts w:hint="eastAsia" w:ascii="方正仿宋_GBK" w:hAnsi="Calibri" w:eastAsia="方正仿宋_GBK" w:cs="Times New Roman"/>
          <w:color w:val="000000" w:themeColor="text1"/>
          <w:kern w:val="2"/>
          <w:sz w:val="32"/>
          <w:szCs w:val="32"/>
        </w:rPr>
        <w:t>基本同意《初设报告》提出的投资概算编制原则、依据和编制方法。本工程概算总投资为</w:t>
      </w:r>
      <w:r>
        <w:rPr>
          <w:rFonts w:ascii="方正仿宋_GBK" w:hAnsi="Calibri" w:eastAsia="方正仿宋_GBK" w:cs="Times New Roman"/>
          <w:color w:val="000000" w:themeColor="text1"/>
          <w:kern w:val="2"/>
          <w:sz w:val="32"/>
          <w:szCs w:val="32"/>
        </w:rPr>
        <w:t>1950</w:t>
      </w:r>
      <w:r>
        <w:rPr>
          <w:rFonts w:hint="eastAsia" w:ascii="方正仿宋_GBK" w:hAnsi="Calibri" w:eastAsia="方正仿宋_GBK" w:cs="Times New Roman"/>
          <w:color w:val="000000" w:themeColor="text1"/>
          <w:kern w:val="2"/>
          <w:sz w:val="32"/>
          <w:szCs w:val="32"/>
        </w:rPr>
        <w:t>.</w:t>
      </w:r>
      <w:r>
        <w:rPr>
          <w:rFonts w:ascii="方正仿宋_GBK" w:hAnsi="Calibri" w:eastAsia="方正仿宋_GBK" w:cs="Times New Roman"/>
          <w:color w:val="000000" w:themeColor="text1"/>
          <w:kern w:val="2"/>
          <w:sz w:val="32"/>
          <w:szCs w:val="32"/>
        </w:rPr>
        <w:t>88</w:t>
      </w:r>
      <w:r>
        <w:rPr>
          <w:rFonts w:hint="eastAsia" w:ascii="方正仿宋_GBK" w:hAnsi="Calibri" w:eastAsia="方正仿宋_GBK" w:cs="Times New Roman"/>
          <w:color w:val="000000" w:themeColor="text1"/>
          <w:kern w:val="2"/>
          <w:sz w:val="32"/>
          <w:szCs w:val="32"/>
        </w:rPr>
        <w:t>万元，其中工程费用</w:t>
      </w:r>
      <w:r>
        <w:rPr>
          <w:rFonts w:ascii="方正仿宋_GBK" w:hAnsi="Calibri" w:eastAsia="方正仿宋_GBK" w:cs="Times New Roman"/>
          <w:color w:val="000000" w:themeColor="text1"/>
          <w:kern w:val="2"/>
          <w:sz w:val="32"/>
          <w:szCs w:val="32"/>
        </w:rPr>
        <w:t>1626.24</w:t>
      </w:r>
      <w:r>
        <w:rPr>
          <w:rFonts w:hint="eastAsia" w:ascii="方正仿宋_GBK" w:hAnsi="Calibri" w:eastAsia="方正仿宋_GBK" w:cs="Times New Roman"/>
          <w:color w:val="000000" w:themeColor="text1"/>
          <w:kern w:val="2"/>
          <w:sz w:val="32"/>
          <w:szCs w:val="32"/>
        </w:rPr>
        <w:t>万元，工程建设其</w:t>
      </w:r>
      <w:r>
        <w:rPr>
          <w:rFonts w:hint="eastAsia" w:ascii="方正仿宋_GBK" w:hAnsi="Calibri" w:eastAsia="方正仿宋_GBK" w:cs="Times New Roman"/>
          <w:color w:val="000000" w:themeColor="text1"/>
          <w:kern w:val="2"/>
          <w:sz w:val="32"/>
          <w:szCs w:val="32"/>
          <w:lang w:val="zh-CN"/>
        </w:rPr>
        <w:t>他费用</w:t>
      </w:r>
      <w:r>
        <w:rPr>
          <w:rFonts w:ascii="方正仿宋_GBK" w:hAnsi="Calibri" w:eastAsia="方正仿宋_GBK" w:cs="Times New Roman"/>
          <w:color w:val="000000" w:themeColor="text1"/>
          <w:kern w:val="2"/>
          <w:sz w:val="32"/>
          <w:szCs w:val="32"/>
        </w:rPr>
        <w:t>243.32</w:t>
      </w:r>
      <w:r>
        <w:rPr>
          <w:rFonts w:hint="eastAsia" w:ascii="方正仿宋_GBK" w:hAnsi="Calibri" w:eastAsia="方正仿宋_GBK" w:cs="Times New Roman"/>
          <w:color w:val="000000" w:themeColor="text1"/>
          <w:kern w:val="2"/>
          <w:sz w:val="32"/>
          <w:szCs w:val="32"/>
          <w:lang w:val="zh-CN"/>
        </w:rPr>
        <w:t>万元，基本预备费</w:t>
      </w:r>
      <w:r>
        <w:rPr>
          <w:rFonts w:ascii="方正仿宋_GBK" w:hAnsi="Calibri" w:eastAsia="方正仿宋_GBK" w:cs="Times New Roman"/>
          <w:color w:val="000000" w:themeColor="text1"/>
          <w:kern w:val="2"/>
          <w:sz w:val="32"/>
          <w:szCs w:val="32"/>
        </w:rPr>
        <w:t>81.3</w:t>
      </w:r>
      <w:r>
        <w:rPr>
          <w:rFonts w:hint="eastAsia" w:ascii="方正仿宋_GBK" w:hAnsi="Calibri" w:eastAsia="方正仿宋_GBK" w:cs="Times New Roman"/>
          <w:color w:val="000000" w:themeColor="text1"/>
          <w:kern w:val="2"/>
          <w:sz w:val="32"/>
          <w:szCs w:val="32"/>
        </w:rPr>
        <w:t>2</w:t>
      </w:r>
      <w:r>
        <w:rPr>
          <w:rFonts w:hint="eastAsia" w:ascii="方正仿宋_GBK" w:hAnsi="Calibri" w:eastAsia="方正仿宋_GBK" w:cs="Times New Roman"/>
          <w:color w:val="000000" w:themeColor="text1"/>
          <w:kern w:val="2"/>
          <w:sz w:val="32"/>
          <w:szCs w:val="32"/>
          <w:lang w:val="zh-CN"/>
        </w:rPr>
        <w:t>万元。最终概算投资以巫山县发展</w:t>
      </w:r>
      <w:r>
        <w:rPr>
          <w:rFonts w:hint="eastAsia" w:ascii="方正仿宋_GBK" w:hAnsi="Calibri" w:eastAsia="方正仿宋_GBK" w:cs="Times New Roman"/>
          <w:color w:val="000000" w:themeColor="text1"/>
          <w:kern w:val="2"/>
          <w:sz w:val="32"/>
          <w:szCs w:val="32"/>
          <w:lang w:val="en-US" w:eastAsia="zh-CN"/>
        </w:rPr>
        <w:t>和</w:t>
      </w:r>
      <w:bookmarkStart w:id="1" w:name="_GoBack"/>
      <w:bookmarkEnd w:id="1"/>
      <w:r>
        <w:rPr>
          <w:rFonts w:hint="eastAsia" w:ascii="方正仿宋_GBK" w:hAnsi="Calibri" w:eastAsia="方正仿宋_GBK" w:cs="Times New Roman"/>
          <w:color w:val="000000" w:themeColor="text1"/>
          <w:kern w:val="2"/>
          <w:sz w:val="32"/>
          <w:szCs w:val="32"/>
          <w:lang w:val="zh-CN"/>
        </w:rPr>
        <w:t>改革委员会下达的批复为准。</w:t>
      </w: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p>
    <w:p>
      <w:pPr>
        <w:widowControl w:val="0"/>
        <w:adjustRightInd/>
        <w:snapToGrid/>
        <w:spacing w:after="0" w:line="580" w:lineRule="exact"/>
        <w:ind w:firstLine="640" w:firstLineChars="200"/>
        <w:rPr>
          <w:rFonts w:ascii="方正仿宋_GBK" w:hAnsi="Calibri" w:eastAsia="方正仿宋_GBK" w:cs="Times New Roman"/>
          <w:color w:val="000000" w:themeColor="text1"/>
          <w:kern w:val="2"/>
          <w:sz w:val="32"/>
          <w:szCs w:val="32"/>
        </w:rPr>
      </w:pPr>
      <w:r>
        <w:rPr>
          <w:rFonts w:hint="eastAsia" w:ascii="方正仿宋_GBK" w:hAnsi="Calibri" w:eastAsia="方正仿宋_GBK" w:cs="Times New Roman"/>
          <w:color w:val="000000" w:themeColor="text1"/>
          <w:kern w:val="2"/>
          <w:sz w:val="32"/>
          <w:szCs w:val="32"/>
        </w:rPr>
        <w:t>附：专家评审意见签到表</w:t>
      </w:r>
    </w:p>
    <w:p>
      <w:pPr>
        <w:spacing w:line="360" w:lineRule="auto"/>
        <w:rPr>
          <w:rFonts w:ascii="方正仿宋_GBK" w:hAnsi="楷体" w:eastAsia="方正仿宋_GBK" w:cs="宋体"/>
          <w:color w:val="000000" w:themeColor="text1"/>
          <w:sz w:val="32"/>
          <w:szCs w:val="32"/>
        </w:rPr>
      </w:pPr>
    </w:p>
    <w:p>
      <w:pPr>
        <w:spacing w:line="360" w:lineRule="auto"/>
        <w:ind w:left="2" w:firstLine="5101" w:firstLineChars="1594"/>
        <w:rPr>
          <w:rFonts w:ascii="方正仿宋_GBK" w:hAnsi="楷体" w:eastAsia="方正仿宋_GBK" w:cs="宋体"/>
          <w:color w:val="000000" w:themeColor="text1"/>
          <w:sz w:val="32"/>
          <w:szCs w:val="32"/>
        </w:rPr>
      </w:pPr>
      <w:r>
        <w:rPr>
          <w:rFonts w:ascii="方正仿宋_GBK" w:hAnsi="楷体" w:eastAsia="方正仿宋_GBK" w:cs="宋体"/>
          <w:color w:val="000000" w:themeColor="text1"/>
          <w:sz w:val="32"/>
          <w:szCs w:val="32"/>
        </w:rPr>
        <w:t>20</w:t>
      </w:r>
      <w:r>
        <w:rPr>
          <w:rFonts w:hint="eastAsia" w:ascii="方正仿宋_GBK" w:hAnsi="楷体" w:eastAsia="方正仿宋_GBK" w:cs="宋体"/>
          <w:color w:val="000000" w:themeColor="text1"/>
          <w:sz w:val="32"/>
          <w:szCs w:val="32"/>
        </w:rPr>
        <w:t>22</w:t>
      </w:r>
      <w:r>
        <w:rPr>
          <w:rFonts w:ascii="方正仿宋_GBK" w:hAnsi="楷体" w:eastAsia="方正仿宋_GBK" w:cs="宋体"/>
          <w:color w:val="000000" w:themeColor="text1"/>
          <w:sz w:val="32"/>
          <w:szCs w:val="32"/>
        </w:rPr>
        <w:t>年</w:t>
      </w:r>
      <w:r>
        <w:rPr>
          <w:rFonts w:hint="eastAsia" w:ascii="方正仿宋_GBK" w:hAnsi="楷体" w:eastAsia="方正仿宋_GBK" w:cs="宋体"/>
          <w:color w:val="000000" w:themeColor="text1"/>
          <w:sz w:val="32"/>
          <w:szCs w:val="32"/>
        </w:rPr>
        <w:t>10</w:t>
      </w:r>
      <w:r>
        <w:rPr>
          <w:rFonts w:ascii="方正仿宋_GBK" w:hAnsi="楷体" w:eastAsia="方正仿宋_GBK" w:cs="宋体"/>
          <w:color w:val="000000" w:themeColor="text1"/>
          <w:sz w:val="32"/>
          <w:szCs w:val="32"/>
        </w:rPr>
        <w:t>月</w:t>
      </w:r>
      <w:r>
        <w:rPr>
          <w:rFonts w:hint="eastAsia" w:ascii="方正仿宋_GBK" w:hAnsi="楷体" w:eastAsia="方正仿宋_GBK" w:cs="宋体"/>
          <w:color w:val="000000" w:themeColor="text1"/>
          <w:sz w:val="32"/>
          <w:szCs w:val="32"/>
        </w:rPr>
        <w:t>8</w:t>
      </w:r>
      <w:r>
        <w:rPr>
          <w:rFonts w:ascii="方正仿宋_GBK" w:hAnsi="楷体" w:eastAsia="方正仿宋_GBK" w:cs="宋体"/>
          <w:color w:val="000000" w:themeColor="text1"/>
          <w:sz w:val="32"/>
          <w:szCs w:val="32"/>
        </w:rPr>
        <w:t>日</w:t>
      </w:r>
    </w:p>
    <w:p>
      <w:pPr>
        <w:spacing w:line="360" w:lineRule="auto"/>
        <w:ind w:left="2" w:firstLine="3360" w:firstLineChars="1050"/>
        <w:rPr>
          <w:rFonts w:ascii="方正仿宋_GBK" w:hAnsi="楷体" w:eastAsia="方正仿宋_GBK" w:cs="宋体"/>
          <w:color w:val="000000" w:themeColor="text1"/>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E08"/>
    <w:rsid w:val="000041E2"/>
    <w:rsid w:val="0002310C"/>
    <w:rsid w:val="00047F52"/>
    <w:rsid w:val="00070271"/>
    <w:rsid w:val="00071916"/>
    <w:rsid w:val="00096850"/>
    <w:rsid w:val="000B0CBC"/>
    <w:rsid w:val="000B0E73"/>
    <w:rsid w:val="00104AD6"/>
    <w:rsid w:val="0016174C"/>
    <w:rsid w:val="00173D4F"/>
    <w:rsid w:val="001D383F"/>
    <w:rsid w:val="001F046D"/>
    <w:rsid w:val="001F516A"/>
    <w:rsid w:val="002067A7"/>
    <w:rsid w:val="00233098"/>
    <w:rsid w:val="00250CDF"/>
    <w:rsid w:val="00297253"/>
    <w:rsid w:val="002B32AC"/>
    <w:rsid w:val="002F42D9"/>
    <w:rsid w:val="0030704A"/>
    <w:rsid w:val="00323B43"/>
    <w:rsid w:val="003273A9"/>
    <w:rsid w:val="003303EE"/>
    <w:rsid w:val="00351083"/>
    <w:rsid w:val="003622ED"/>
    <w:rsid w:val="0036253A"/>
    <w:rsid w:val="00373BB6"/>
    <w:rsid w:val="00380511"/>
    <w:rsid w:val="00381753"/>
    <w:rsid w:val="0038464F"/>
    <w:rsid w:val="00393F58"/>
    <w:rsid w:val="003D37D8"/>
    <w:rsid w:val="003F1CE6"/>
    <w:rsid w:val="00421D73"/>
    <w:rsid w:val="00426133"/>
    <w:rsid w:val="0043024D"/>
    <w:rsid w:val="004358AB"/>
    <w:rsid w:val="00452B7A"/>
    <w:rsid w:val="00480EB6"/>
    <w:rsid w:val="004A0677"/>
    <w:rsid w:val="004B07F1"/>
    <w:rsid w:val="004B1D77"/>
    <w:rsid w:val="004C4D75"/>
    <w:rsid w:val="005052EE"/>
    <w:rsid w:val="005067EC"/>
    <w:rsid w:val="00526A07"/>
    <w:rsid w:val="00530602"/>
    <w:rsid w:val="00531569"/>
    <w:rsid w:val="00547EF1"/>
    <w:rsid w:val="00554705"/>
    <w:rsid w:val="0057194C"/>
    <w:rsid w:val="0058129E"/>
    <w:rsid w:val="005C0AE2"/>
    <w:rsid w:val="005E3BAE"/>
    <w:rsid w:val="005F68E5"/>
    <w:rsid w:val="0060186D"/>
    <w:rsid w:val="00601A80"/>
    <w:rsid w:val="006211CE"/>
    <w:rsid w:val="00631A58"/>
    <w:rsid w:val="0063438B"/>
    <w:rsid w:val="00642431"/>
    <w:rsid w:val="006469C6"/>
    <w:rsid w:val="00652402"/>
    <w:rsid w:val="0066605E"/>
    <w:rsid w:val="00691D5E"/>
    <w:rsid w:val="006B75EA"/>
    <w:rsid w:val="006C47F7"/>
    <w:rsid w:val="006E11C1"/>
    <w:rsid w:val="006E5C5D"/>
    <w:rsid w:val="00706538"/>
    <w:rsid w:val="0071543A"/>
    <w:rsid w:val="007536D7"/>
    <w:rsid w:val="00770FD4"/>
    <w:rsid w:val="007924F7"/>
    <w:rsid w:val="00796375"/>
    <w:rsid w:val="007C6791"/>
    <w:rsid w:val="007D1B92"/>
    <w:rsid w:val="007E21CA"/>
    <w:rsid w:val="007E7C46"/>
    <w:rsid w:val="007F5546"/>
    <w:rsid w:val="007F7912"/>
    <w:rsid w:val="00801845"/>
    <w:rsid w:val="00812876"/>
    <w:rsid w:val="00823F02"/>
    <w:rsid w:val="00832FCC"/>
    <w:rsid w:val="00851E72"/>
    <w:rsid w:val="00864D06"/>
    <w:rsid w:val="0087082A"/>
    <w:rsid w:val="0089608D"/>
    <w:rsid w:val="008A3F18"/>
    <w:rsid w:val="008A516B"/>
    <w:rsid w:val="008B7726"/>
    <w:rsid w:val="008E000B"/>
    <w:rsid w:val="008E4189"/>
    <w:rsid w:val="00901FAF"/>
    <w:rsid w:val="009121A1"/>
    <w:rsid w:val="00916CCA"/>
    <w:rsid w:val="00935E65"/>
    <w:rsid w:val="0096086F"/>
    <w:rsid w:val="009750F4"/>
    <w:rsid w:val="009B0E10"/>
    <w:rsid w:val="009E4577"/>
    <w:rsid w:val="00A47C48"/>
    <w:rsid w:val="00A5048F"/>
    <w:rsid w:val="00A56D32"/>
    <w:rsid w:val="00A57B91"/>
    <w:rsid w:val="00AB59AF"/>
    <w:rsid w:val="00AC262A"/>
    <w:rsid w:val="00AD53AC"/>
    <w:rsid w:val="00B016CD"/>
    <w:rsid w:val="00B37FB8"/>
    <w:rsid w:val="00B50B7C"/>
    <w:rsid w:val="00B51F5F"/>
    <w:rsid w:val="00B81271"/>
    <w:rsid w:val="00B87B02"/>
    <w:rsid w:val="00B87D8A"/>
    <w:rsid w:val="00BA1AD0"/>
    <w:rsid w:val="00BE5DD7"/>
    <w:rsid w:val="00BE75B8"/>
    <w:rsid w:val="00BF581D"/>
    <w:rsid w:val="00C16162"/>
    <w:rsid w:val="00C27AA1"/>
    <w:rsid w:val="00CC0652"/>
    <w:rsid w:val="00CE4A6A"/>
    <w:rsid w:val="00D31D50"/>
    <w:rsid w:val="00D43663"/>
    <w:rsid w:val="00D45BD1"/>
    <w:rsid w:val="00D462DF"/>
    <w:rsid w:val="00D55951"/>
    <w:rsid w:val="00D95BFB"/>
    <w:rsid w:val="00DB707C"/>
    <w:rsid w:val="00DC2EA0"/>
    <w:rsid w:val="00DF3163"/>
    <w:rsid w:val="00DF331C"/>
    <w:rsid w:val="00E429C6"/>
    <w:rsid w:val="00EB1E7A"/>
    <w:rsid w:val="00F17D88"/>
    <w:rsid w:val="00F272C6"/>
    <w:rsid w:val="00F31EE6"/>
    <w:rsid w:val="00F53FD8"/>
    <w:rsid w:val="00F5553A"/>
    <w:rsid w:val="00F628B6"/>
    <w:rsid w:val="00F820AB"/>
    <w:rsid w:val="00FE16DB"/>
    <w:rsid w:val="042027A4"/>
    <w:rsid w:val="04855E2D"/>
    <w:rsid w:val="06A119A3"/>
    <w:rsid w:val="107B5993"/>
    <w:rsid w:val="1D5F325B"/>
    <w:rsid w:val="2340582C"/>
    <w:rsid w:val="24565699"/>
    <w:rsid w:val="31BB22AB"/>
    <w:rsid w:val="37694673"/>
    <w:rsid w:val="378C6994"/>
    <w:rsid w:val="3D393887"/>
    <w:rsid w:val="3E673DF4"/>
    <w:rsid w:val="47B21CC0"/>
    <w:rsid w:val="4968677D"/>
    <w:rsid w:val="51D07BC2"/>
    <w:rsid w:val="58834E0A"/>
    <w:rsid w:val="636D15DB"/>
    <w:rsid w:val="69555D63"/>
    <w:rsid w:val="6A111E68"/>
    <w:rsid w:val="71DB457D"/>
    <w:rsid w:val="73262C77"/>
    <w:rsid w:val="7BD92B09"/>
    <w:rsid w:val="7CC73767"/>
    <w:rsid w:val="7F4722F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39"/>
    <w:pPr>
      <w:ind w:left="1680" w:leftChars="800"/>
    </w:pPr>
  </w:style>
  <w:style w:type="paragraph" w:styleId="6">
    <w:name w:val="Normal Indent"/>
    <w:basedOn w:val="1"/>
    <w:unhideWhenUsed/>
    <w:qFormat/>
    <w:uiPriority w:val="99"/>
    <w:pPr>
      <w:ind w:firstLine="420" w:firstLineChars="200"/>
    </w:pPr>
  </w:style>
  <w:style w:type="paragraph" w:styleId="7">
    <w:name w:val="Body Text Indent"/>
    <w:basedOn w:val="1"/>
    <w:link w:val="35"/>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pPr>
    <w:rPr>
      <w:sz w:val="18"/>
      <w:szCs w:val="18"/>
    </w:rPr>
  </w:style>
  <w:style w:type="paragraph" w:styleId="9">
    <w:name w:val="Body Text First Indent 2"/>
    <w:basedOn w:val="7"/>
    <w:link w:val="36"/>
    <w:unhideWhenUsed/>
    <w:uiPriority w:val="99"/>
    <w:pPr>
      <w:ind w:firstLine="420" w:firstLineChars="200"/>
    </w:pPr>
  </w:style>
  <w:style w:type="paragraph" w:styleId="10">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uiPriority w:val="39"/>
  </w:style>
  <w:style w:type="paragraph" w:styleId="12">
    <w:name w:val="Normal (Web)"/>
    <w:basedOn w:val="1"/>
    <w:unhideWhenUsed/>
    <w:qFormat/>
    <w:uiPriority w:val="99"/>
    <w:pPr>
      <w:widowControl w:val="0"/>
      <w:adjustRightInd/>
      <w:snapToGrid/>
      <w:spacing w:beforeAutospacing="1" w:after="0" w:afterAutospacing="1"/>
    </w:pPr>
    <w:rPr>
      <w:rFonts w:ascii="Calibri" w:hAnsi="Calibri" w:eastAsia="宋体" w:cs="Times New Roman"/>
      <w:sz w:val="24"/>
    </w:rPr>
  </w:style>
  <w:style w:type="character" w:customStyle="1" w:styleId="15">
    <w:name w:val="页眉 Char"/>
    <w:basedOn w:val="13"/>
    <w:link w:val="10"/>
    <w:qFormat/>
    <w:uiPriority w:val="99"/>
    <w:rPr>
      <w:rFonts w:ascii="Tahoma" w:hAnsi="Tahoma"/>
      <w:sz w:val="18"/>
      <w:szCs w:val="18"/>
    </w:rPr>
  </w:style>
  <w:style w:type="character" w:customStyle="1" w:styleId="16">
    <w:name w:val="页脚 Char"/>
    <w:basedOn w:val="13"/>
    <w:link w:val="8"/>
    <w:qFormat/>
    <w:uiPriority w:val="99"/>
    <w:rPr>
      <w:rFonts w:ascii="Tahoma" w:hAnsi="Tahoma"/>
      <w:sz w:val="18"/>
      <w:szCs w:val="18"/>
    </w:rPr>
  </w:style>
  <w:style w:type="paragraph" w:customStyle="1" w:styleId="17">
    <w:name w:val="样式 公正文 + 首行缩进:  2 字符5"/>
    <w:basedOn w:val="1"/>
    <w:link w:val="18"/>
    <w:qFormat/>
    <w:uiPriority w:val="0"/>
    <w:pPr>
      <w:widowControl w:val="0"/>
      <w:spacing w:after="0" w:line="355" w:lineRule="auto"/>
      <w:ind w:firstLine="560" w:firstLineChars="200"/>
      <w:jc w:val="both"/>
    </w:pPr>
    <w:rPr>
      <w:rFonts w:ascii="宋体" w:hAnsi="宋体" w:eastAsia="仿宋_GB2312" w:cs="宋体"/>
      <w:kern w:val="2"/>
      <w:sz w:val="28"/>
      <w:szCs w:val="24"/>
    </w:rPr>
  </w:style>
  <w:style w:type="character" w:customStyle="1" w:styleId="18">
    <w:name w:val="样式 公正文 + 首行缩进:  2 字符5 Char"/>
    <w:link w:val="17"/>
    <w:qFormat/>
    <w:uiPriority w:val="0"/>
    <w:rPr>
      <w:rFonts w:ascii="宋体" w:hAnsi="宋体" w:eastAsia="仿宋_GB2312" w:cs="宋体"/>
      <w:kern w:val="2"/>
      <w:sz w:val="28"/>
      <w:szCs w:val="24"/>
    </w:rPr>
  </w:style>
  <w:style w:type="paragraph" w:customStyle="1" w:styleId="19">
    <w:name w:val="公正文1"/>
    <w:qFormat/>
    <w:uiPriority w:val="0"/>
    <w:pPr>
      <w:widowControl w:val="0"/>
      <w:adjustRightInd w:val="0"/>
      <w:snapToGrid w:val="0"/>
      <w:spacing w:line="355" w:lineRule="auto"/>
      <w:ind w:firstLine="163" w:firstLineChars="163"/>
      <w:jc w:val="both"/>
    </w:pPr>
    <w:rPr>
      <w:rFonts w:ascii="宋体" w:hAnsi="宋体" w:eastAsia="仿宋_GB2312" w:cs="宋体"/>
      <w:kern w:val="2"/>
      <w:sz w:val="28"/>
      <w:lang w:val="en-US" w:eastAsia="zh-CN" w:bidi="ar-SA"/>
    </w:rPr>
  </w:style>
  <w:style w:type="paragraph" w:customStyle="1" w:styleId="20">
    <w:name w:val="List Paragraph"/>
    <w:basedOn w:val="1"/>
    <w:qFormat/>
    <w:uiPriority w:val="34"/>
    <w:pPr>
      <w:ind w:firstLine="420" w:firstLineChars="200"/>
    </w:pPr>
  </w:style>
  <w:style w:type="paragraph" w:customStyle="1" w:styleId="21">
    <w:name w:val="公正文"/>
    <w:basedOn w:val="6"/>
    <w:link w:val="22"/>
    <w:qFormat/>
    <w:uiPriority w:val="0"/>
    <w:pPr>
      <w:widowControl w:val="0"/>
      <w:spacing w:after="0" w:line="355" w:lineRule="auto"/>
      <w:ind w:firstLine="200"/>
      <w:jc w:val="both"/>
    </w:pPr>
    <w:rPr>
      <w:rFonts w:ascii="宋体" w:hAnsi="宋体" w:eastAsia="仿宋_GB2312" w:cs="Times New Roman"/>
      <w:kern w:val="2"/>
      <w:sz w:val="28"/>
      <w:szCs w:val="24"/>
    </w:rPr>
  </w:style>
  <w:style w:type="character" w:customStyle="1" w:styleId="22">
    <w:name w:val="公正文 Char"/>
    <w:link w:val="21"/>
    <w:qFormat/>
    <w:uiPriority w:val="0"/>
    <w:rPr>
      <w:rFonts w:ascii="宋体" w:hAnsi="宋体" w:eastAsia="仿宋_GB2312" w:cs="Times New Roman"/>
      <w:kern w:val="2"/>
      <w:sz w:val="28"/>
      <w:szCs w:val="24"/>
    </w:rPr>
  </w:style>
  <w:style w:type="paragraph" w:customStyle="1" w:styleId="23">
    <w:name w:val="文本TD"/>
    <w:basedOn w:val="1"/>
    <w:link w:val="24"/>
    <w:qFormat/>
    <w:uiPriority w:val="0"/>
    <w:pPr>
      <w:shd w:val="clear" w:color="auto" w:fill="FFFFFF"/>
      <w:adjustRightInd/>
      <w:snapToGrid/>
      <w:spacing w:after="0" w:line="360" w:lineRule="auto"/>
      <w:ind w:firstLine="200" w:firstLineChars="200"/>
    </w:pPr>
    <w:rPr>
      <w:rFonts w:ascii="Times New Roman" w:hAnsi="Times New Roman" w:eastAsia="宋体" w:cs="Times New Roman"/>
      <w:color w:val="002060"/>
      <w:sz w:val="24"/>
      <w:szCs w:val="24"/>
    </w:rPr>
  </w:style>
  <w:style w:type="character" w:customStyle="1" w:styleId="24">
    <w:name w:val="文本TD Char"/>
    <w:basedOn w:val="13"/>
    <w:link w:val="23"/>
    <w:qFormat/>
    <w:uiPriority w:val="0"/>
    <w:rPr>
      <w:rFonts w:ascii="Times New Roman" w:hAnsi="Times New Roman" w:eastAsia="宋体" w:cs="Times New Roman"/>
      <w:color w:val="002060"/>
      <w:sz w:val="24"/>
      <w:szCs w:val="24"/>
      <w:shd w:val="clear" w:color="auto" w:fill="FFFFFF"/>
    </w:rPr>
  </w:style>
  <w:style w:type="character" w:customStyle="1" w:styleId="25">
    <w:name w:val="样式 标题 3白鹤滩标题 3条标题1.1.1小标题标题 3XWH33h33rd levell3CT标题 3...2 Char"/>
    <w:link w:val="26"/>
    <w:qFormat/>
    <w:uiPriority w:val="0"/>
    <w:rPr>
      <w:rFonts w:ascii="仿宋_GB2312" w:eastAsia="仿宋_GB2312" w:cs="仿宋_GB2312"/>
      <w:b/>
      <w:bCs/>
      <w:color w:val="000000"/>
      <w:kern w:val="2"/>
      <w:sz w:val="24"/>
      <w:szCs w:val="32"/>
    </w:rPr>
  </w:style>
  <w:style w:type="paragraph" w:customStyle="1" w:styleId="26">
    <w:name w:val="样式 标题 3白鹤滩标题 3条标题1.1.1小标题标题 3XWH33h33rd levell3CT标题 3...2"/>
    <w:basedOn w:val="4"/>
    <w:link w:val="25"/>
    <w:qFormat/>
    <w:uiPriority w:val="0"/>
    <w:pPr>
      <w:widowControl w:val="0"/>
      <w:adjustRightInd/>
      <w:spacing w:before="0" w:after="0" w:line="360" w:lineRule="auto"/>
      <w:jc w:val="both"/>
    </w:pPr>
    <w:rPr>
      <w:rFonts w:ascii="仿宋_GB2312" w:eastAsia="仿宋_GB2312" w:cs="仿宋_GB2312" w:hAnsiTheme="minorHAnsi"/>
      <w:color w:val="000000"/>
      <w:kern w:val="2"/>
      <w:sz w:val="24"/>
    </w:rPr>
  </w:style>
  <w:style w:type="paragraph" w:customStyle="1" w:styleId="27">
    <w:name w:val="3级目录"/>
    <w:basedOn w:val="26"/>
    <w:link w:val="28"/>
    <w:qFormat/>
    <w:uiPriority w:val="0"/>
    <w:rPr>
      <w:rFonts w:ascii="Times New Roman" w:eastAsia="宋体" w:cs="Times New Roman"/>
      <w:color w:val="002060"/>
    </w:rPr>
  </w:style>
  <w:style w:type="character" w:customStyle="1" w:styleId="28">
    <w:name w:val="3级目录 Char"/>
    <w:link w:val="27"/>
    <w:qFormat/>
    <w:uiPriority w:val="0"/>
    <w:rPr>
      <w:rFonts w:ascii="Times New Roman" w:eastAsia="宋体" w:cs="Times New Roman"/>
      <w:b/>
      <w:bCs/>
      <w:color w:val="002060"/>
      <w:kern w:val="2"/>
      <w:sz w:val="24"/>
      <w:szCs w:val="32"/>
    </w:rPr>
  </w:style>
  <w:style w:type="paragraph" w:customStyle="1" w:styleId="29">
    <w:name w:val="文本TDZ"/>
    <w:basedOn w:val="23"/>
    <w:link w:val="30"/>
    <w:qFormat/>
    <w:uiPriority w:val="0"/>
  </w:style>
  <w:style w:type="character" w:customStyle="1" w:styleId="30">
    <w:name w:val="文本TDZ Char"/>
    <w:basedOn w:val="24"/>
    <w:link w:val="29"/>
    <w:qFormat/>
    <w:uiPriority w:val="0"/>
    <w:rPr>
      <w:rFonts w:ascii="Times New Roman" w:hAnsi="Times New Roman" w:eastAsia="宋体" w:cs="Times New Roman"/>
      <w:color w:val="002060"/>
      <w:sz w:val="24"/>
      <w:szCs w:val="24"/>
      <w:shd w:val="clear" w:color="auto" w:fill="FFFFFF"/>
    </w:rPr>
  </w:style>
  <w:style w:type="character" w:customStyle="1" w:styleId="31">
    <w:name w:val="标题 3 Char"/>
    <w:basedOn w:val="13"/>
    <w:link w:val="4"/>
    <w:semiHidden/>
    <w:qFormat/>
    <w:uiPriority w:val="9"/>
    <w:rPr>
      <w:rFonts w:ascii="Tahoma" w:hAnsi="Tahoma"/>
      <w:b/>
      <w:bCs/>
      <w:sz w:val="32"/>
      <w:szCs w:val="32"/>
    </w:rPr>
  </w:style>
  <w:style w:type="character" w:customStyle="1" w:styleId="32">
    <w:name w:val="标准 Char Char"/>
    <w:link w:val="33"/>
    <w:qFormat/>
    <w:uiPriority w:val="0"/>
    <w:rPr>
      <w:rFonts w:ascii="仿宋_GB2312" w:hAnsi="宋体" w:eastAsia="仿宋_GB2312"/>
      <w:color w:val="000000"/>
      <w:kern w:val="2"/>
      <w:sz w:val="28"/>
      <w:szCs w:val="28"/>
    </w:rPr>
  </w:style>
  <w:style w:type="paragraph" w:customStyle="1" w:styleId="33">
    <w:name w:val="标准"/>
    <w:link w:val="32"/>
    <w:qFormat/>
    <w:uiPriority w:val="0"/>
    <w:pPr>
      <w:widowControl w:val="0"/>
      <w:ind w:firstLine="200" w:firstLineChars="200"/>
      <w:jc w:val="both"/>
    </w:pPr>
    <w:rPr>
      <w:rFonts w:ascii="仿宋_GB2312" w:hAnsi="宋体" w:eastAsia="仿宋_GB2312" w:cstheme="minorBidi"/>
      <w:color w:val="000000"/>
      <w:kern w:val="2"/>
      <w:sz w:val="28"/>
      <w:szCs w:val="28"/>
      <w:lang w:val="en-US" w:eastAsia="zh-CN" w:bidi="ar-SA"/>
    </w:rPr>
  </w:style>
  <w:style w:type="character" w:customStyle="1" w:styleId="34">
    <w:name w:val="标题 4 Char"/>
    <w:basedOn w:val="13"/>
    <w:link w:val="5"/>
    <w:semiHidden/>
    <w:qFormat/>
    <w:uiPriority w:val="9"/>
    <w:rPr>
      <w:rFonts w:asciiTheme="majorHAnsi" w:hAnsiTheme="majorHAnsi" w:eastAsiaTheme="majorEastAsia" w:cstheme="majorBidi"/>
      <w:b/>
      <w:bCs/>
      <w:sz w:val="28"/>
      <w:szCs w:val="28"/>
    </w:rPr>
  </w:style>
  <w:style w:type="character" w:customStyle="1" w:styleId="35">
    <w:name w:val="正文文本缩进 Char"/>
    <w:basedOn w:val="13"/>
    <w:link w:val="7"/>
    <w:semiHidden/>
    <w:qFormat/>
    <w:uiPriority w:val="99"/>
    <w:rPr>
      <w:rFonts w:ascii="Tahoma" w:hAnsi="Tahoma"/>
      <w:sz w:val="22"/>
      <w:szCs w:val="22"/>
    </w:rPr>
  </w:style>
  <w:style w:type="character" w:customStyle="1" w:styleId="36">
    <w:name w:val="正文首行缩进 2 Char"/>
    <w:basedOn w:val="35"/>
    <w:link w:val="9"/>
    <w:semiHidden/>
    <w:qFormat/>
    <w:uiPriority w:val="99"/>
    <w:rPr>
      <w:rFonts w:ascii="Tahoma" w:hAnsi="Tahoma"/>
      <w:sz w:val="22"/>
      <w:szCs w:val="22"/>
    </w:rPr>
  </w:style>
  <w:style w:type="paragraph" w:customStyle="1" w:styleId="37">
    <w:name w:val="样式 正文首行缩进 2 + 首行缩进:  2 字符"/>
    <w:basedOn w:val="1"/>
    <w:next w:val="1"/>
    <w:qFormat/>
    <w:uiPriority w:val="0"/>
    <w:pPr>
      <w:widowControl w:val="0"/>
      <w:adjustRightInd/>
      <w:snapToGrid/>
      <w:spacing w:after="0"/>
      <w:ind w:firstLine="480"/>
      <w:jc w:val="both"/>
    </w:pPr>
    <w:rPr>
      <w:rFonts w:ascii="Calibri" w:hAnsi="Calibri" w:eastAsia="宋体" w:cs="宋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543</Words>
  <Characters>3101</Characters>
  <Lines>25</Lines>
  <Paragraphs>7</Paragraphs>
  <TotalTime>0</TotalTime>
  <ScaleCrop>false</ScaleCrop>
  <LinksUpToDate>false</LinksUpToDate>
  <CharactersWithSpaces>3637</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2022-10-19T03:00:00Z</dcterms:created>
  <dc:creator>Administrator</dc:creator>
  <cp:lastModifiedBy>lenovo</cp:lastModifiedBy>
  <dcterms:modified xsi:type="dcterms:W3CDTF">2024-12-24T02:49:20Z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14E08BC58403420F9F273B246B06873E</vt:lpwstr>
  </property>
</Properties>
</file>