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黑体_GBK" w:cs="Times New Roman"/>
          <w:color w:val="FFFFFF" w:themeColor="background1"/>
          <w:sz w:val="32"/>
          <w:szCs w:val="32"/>
          <w14:textFill>
            <w14:solidFill>
              <w14:schemeClr w14:val="bg1"/>
            </w14:solidFill>
          </w14:textFill>
        </w:rPr>
      </w:pPr>
      <w:r>
        <w:rPr>
          <w:rFonts w:hint="default" w:ascii="Times New Roman" w:hAnsi="Times New Roman" w:eastAsia="方正黑体_GBK" w:cs="Times New Roman"/>
          <w:color w:val="FFFFFF" w:themeColor="background1"/>
          <w:sz w:val="32"/>
          <w:szCs w:val="32"/>
          <w14:textFill>
            <w14:solidFill>
              <w14:schemeClr w14:val="bg1"/>
            </w14:solidFill>
          </w14:textFill>
        </w:rPr>
        <w:t>00</w:t>
      </w:r>
      <w:r>
        <w:rPr>
          <w:rFonts w:hint="eastAsia" w:ascii="Times New Roman" w:hAnsi="Times New Roman" w:eastAsia="方正黑体_GBK" w:cs="Times New Roman"/>
          <w:color w:val="FFFFFF" w:themeColor="background1"/>
          <w:sz w:val="32"/>
          <w:szCs w:val="32"/>
          <w:lang w:val="en-US" w:eastAsia="zh-CN"/>
          <w14:textFill>
            <w14:solidFill>
              <w14:schemeClr w14:val="bg1"/>
            </w14:solidFill>
          </w14:textFill>
        </w:rPr>
        <w:t>000</w:t>
      </w:r>
      <w:r>
        <w:rPr>
          <w:rFonts w:hint="default" w:ascii="Times New Roman" w:hAnsi="Times New Roman" w:eastAsia="方正黑体_GBK" w:cs="Times New Roman"/>
          <w:color w:val="FFFFFF" w:themeColor="background1"/>
          <w:sz w:val="32"/>
          <w:szCs w:val="32"/>
          <w14:textFill>
            <w14:solidFill>
              <w14:schemeClr w14:val="bg1"/>
            </w14:solidFill>
          </w14:textFill>
        </w:rPr>
        <w:t>1</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方正黑体_GBK" w:eastAsia="方正黑体_GBK"/>
          <w:color w:val="FFFFFF" w:themeColor="background1"/>
          <w:sz w:val="32"/>
          <w:szCs w:val="32"/>
          <w14:textFill>
            <w14:solidFill>
              <w14:schemeClr w14:val="bg1"/>
            </w14:solidFill>
          </w14:textFill>
        </w:rPr>
      </w:pPr>
      <w:r>
        <w:rPr>
          <w:rFonts w:hint="eastAsia" w:ascii="方正黑体_GBK" w:eastAsia="方正黑体_GBK"/>
          <w:color w:val="FFFFFF" w:themeColor="background1"/>
          <w:sz w:val="32"/>
          <w:szCs w:val="32"/>
          <w14:textFill>
            <w14:solidFill>
              <w14:schemeClr w14:val="bg1"/>
            </w14:solidFill>
          </w14:textFill>
        </w:rPr>
        <w:t>秘  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方正黑体_GBK" w:eastAsia="方正黑体_GBK"/>
          <w:color w:val="FFFFFF" w:themeColor="background1"/>
          <w:sz w:val="32"/>
          <w:szCs w:val="32"/>
          <w14:textFill>
            <w14:solidFill>
              <w14:schemeClr w14:val="bg1"/>
            </w14:solidFill>
          </w14:textFill>
        </w:rPr>
      </w:pPr>
      <w:r>
        <w:rPr>
          <w:rFonts w:hint="eastAsia" w:ascii="方正黑体_GBK" w:eastAsia="方正黑体_GBK"/>
          <w:color w:val="FFFFFF" w:themeColor="background1"/>
          <w:sz w:val="32"/>
          <w:szCs w:val="32"/>
          <w14:textFill>
            <w14:solidFill>
              <w14:schemeClr w14:val="bg1"/>
            </w14:solidFill>
          </w14:textFill>
        </w:rPr>
        <w:t>加  急</w:t>
      </w:r>
    </w:p>
    <w:p>
      <w:pPr>
        <w:pStyle w:val="3"/>
        <w:keepNext/>
        <w:keepLines/>
        <w:pageBreakBefore w:val="0"/>
        <w:widowControl w:val="0"/>
        <w:kinsoku/>
        <w:wordWrap/>
        <w:overflowPunct/>
        <w:topLinePunct w:val="0"/>
        <w:autoSpaceDE/>
        <w:autoSpaceDN/>
        <w:bidi w:val="0"/>
        <w:adjustRightInd/>
        <w:snapToGrid w:val="0"/>
        <w:spacing w:before="0" w:after="0"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pict>
          <v:shape id="艺术字 36" o:spid="_x0000_s1031" o:spt="136" type="#_x0000_t136" style="position:absolute;left:0pt;margin-left:0.1pt;margin-top:3.3pt;height:59.7pt;width:443.35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巫山县城市管理局文件" style="font-family:方正小标宋_GBK;font-size:60pt;v-text-align:center;"/>
          </v:shape>
        </w:pict>
      </w:r>
    </w:p>
    <w:p>
      <w:pPr>
        <w:pStyle w:val="3"/>
        <w:pageBreakBefore w:val="0"/>
        <w:widowControl w:val="0"/>
        <w:kinsoku/>
        <w:wordWrap/>
        <w:overflowPunct/>
        <w:topLinePunct w:val="0"/>
        <w:autoSpaceDE/>
        <w:autoSpaceDN/>
        <w:bidi w:val="0"/>
        <w:adjustRightInd/>
        <w:snapToGrid w:val="0"/>
        <w:spacing w:before="0" w:after="0" w:line="240" w:lineRule="auto"/>
        <w:textAlignment w:val="auto"/>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巫山城管发〔202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48</w:t>
      </w:r>
      <w:r>
        <w:rPr>
          <w:rFonts w:hint="default" w:ascii="Times New Roman" w:hAnsi="Times New Roman" w:eastAsia="方正仿宋_GBK" w:cs="Times New Roman"/>
          <w:color w:val="auto"/>
          <w:sz w:val="32"/>
          <w:szCs w:val="32"/>
        </w:rPr>
        <w:t>号</w:t>
      </w:r>
    </w:p>
    <w:p>
      <w:pPr>
        <w:pageBreakBefore w:val="0"/>
        <w:widowControl w:val="0"/>
        <w:kinsoku/>
        <w:wordWrap/>
        <w:overflowPunct/>
        <w:topLinePunct w:val="0"/>
        <w:autoSpaceDE/>
        <w:autoSpaceDN/>
        <w:bidi w:val="0"/>
        <w:adjustRightInd/>
        <w:snapToGrid w:val="0"/>
        <w:spacing w:line="240" w:lineRule="auto"/>
        <w:textAlignment w:val="auto"/>
      </w:pPr>
      <w:r>
        <w:rPr>
          <w:rFonts w:ascii="Times New Roman" w:hAnsi="Times New Roman" w:eastAsia="方正仿宋_GBK" w:cs="Times New Roman"/>
          <w:sz w:val="32"/>
          <w:szCs w:val="32"/>
        </w:rPr>
        <mc:AlternateContent>
          <mc:Choice Requires="wps">
            <w:drawing>
              <wp:anchor distT="0" distB="0" distL="114300" distR="114300" simplePos="0" relativeHeight="251661312" behindDoc="0" locked="0" layoutInCell="1" allowOverlap="1">
                <wp:simplePos x="0" y="0"/>
                <wp:positionH relativeFrom="page">
                  <wp:posOffset>972185</wp:posOffset>
                </wp:positionH>
                <wp:positionV relativeFrom="margin">
                  <wp:posOffset>3174365</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49.95pt;height:0pt;width:442.2pt;mso-position-horizontal-relative:page;mso-position-vertical-relative:margin;z-index:251661312;mso-width-relative:page;mso-height-relative:page;" filled="f" stroked="t" coordsize="21600,21600" o:gfxdata="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Sh/qXZAAAADAEAAA8A&#10;AAAAAAAAAQAgAAAAIgAAAGRycy9kb3ducmV2LnhtbFBLAQIUABQAAAAIAIdO4kC0mUTF3QEAAJcD&#10;AAAOAAAAAAAAAAEAIAAAACgBAABkcnMvZTJvRG9jLnhtbFBLBQYAAAAABgAGAFkBAAB3BQAAAAA=&#10;">
                <v:fill on="f" focussize="0,0"/>
                <v:stroke weight="1.75pt" color="#FF0000" joinstyle="round"/>
                <v:imagedata o:title=""/>
                <o:lock v:ext="edit" aspectratio="f"/>
              </v:line>
            </w:pict>
          </mc:Fallback>
        </mc:AlternateContent>
      </w:r>
    </w:p>
    <w:p>
      <w:pPr>
        <w:pageBreakBefore w:val="0"/>
        <w:widowControl w:val="0"/>
        <w:kinsoku/>
        <w:wordWrap/>
        <w:overflowPunct/>
        <w:topLinePunct w:val="0"/>
        <w:autoSpaceDE/>
        <w:autoSpaceDN/>
        <w:bidi w:val="0"/>
        <w:adjustRightInd/>
        <w:snapToGrid w:val="0"/>
        <w:spacing w:line="240" w:lineRule="auto"/>
        <w:textAlignment w:val="auto"/>
      </w:pPr>
    </w:p>
    <w:p>
      <w:pPr>
        <w:pStyle w:val="3"/>
        <w:pageBreakBefore w:val="0"/>
        <w:widowControl w:val="0"/>
        <w:kinsoku/>
        <w:wordWrap/>
        <w:overflowPunct/>
        <w:topLinePunct w:val="0"/>
        <w:autoSpaceDE/>
        <w:autoSpaceDN/>
        <w:bidi w:val="0"/>
        <w:adjustRightInd/>
        <w:snapToGrid w:val="0"/>
        <w:spacing w:before="0" w:after="0" w:line="240" w:lineRule="auto"/>
        <w:textAlignment w:val="auto"/>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巫山县城市管理局</w:t>
      </w:r>
    </w:p>
    <w:p>
      <w:pPr>
        <w:adjustRightInd w:val="0"/>
        <w:snapToGrid w:val="0"/>
        <w:spacing w:line="594"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color w:val="000000"/>
          <w:sz w:val="44"/>
          <w:szCs w:val="44"/>
        </w:rPr>
        <w:t>关于</w:t>
      </w:r>
      <w:r>
        <w:rPr>
          <w:rFonts w:hint="eastAsia" w:ascii="方正小标宋_GBK" w:hAnsi="方正小标宋_GBK" w:eastAsia="方正小标宋_GBK" w:cs="方正小标宋_GBK"/>
          <w:sz w:val="44"/>
          <w:szCs w:val="44"/>
          <w:lang w:val="en-US" w:eastAsia="zh-CN"/>
        </w:rPr>
        <w:t>下达2023年巩固脱贫攻坚成果和</w:t>
      </w:r>
    </w:p>
    <w:p>
      <w:pPr>
        <w:adjustRightInd w:val="0"/>
        <w:snapToGrid w:val="0"/>
        <w:spacing w:line="594" w:lineRule="exact"/>
        <w:jc w:val="center"/>
        <w:rPr>
          <w:rFonts w:hint="eastAsia" w:ascii="方正小标宋_GBK" w:hAnsi="方正小标宋_GBK" w:eastAsia="方正小标宋_GBK" w:cs="方正小标宋_GBK"/>
          <w:bCs/>
          <w:kern w:val="0"/>
          <w:sz w:val="44"/>
          <w:szCs w:val="44"/>
          <w:lang w:val="en-US" w:eastAsia="zh-CN"/>
        </w:rPr>
      </w:pPr>
      <w:r>
        <w:rPr>
          <w:rFonts w:hint="eastAsia" w:ascii="方正小标宋_GBK" w:hAnsi="方正小标宋_GBK" w:eastAsia="方正小标宋_GBK" w:cs="方正小标宋_GBK"/>
          <w:sz w:val="44"/>
          <w:szCs w:val="44"/>
          <w:lang w:val="en-US" w:eastAsia="zh-CN"/>
        </w:rPr>
        <w:t>乡村振兴项目</w:t>
      </w:r>
      <w:r>
        <w:rPr>
          <w:rFonts w:hint="eastAsia" w:ascii="方正小标宋_GBK" w:hAnsi="方正小标宋_GBK" w:eastAsia="方正小标宋_GBK" w:cs="方正小标宋_GBK"/>
          <w:color w:val="00000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u w:val="none"/>
          <w:lang w:val="en-US" w:eastAsia="zh-CN"/>
        </w:rPr>
      </w:pPr>
      <w:r>
        <w:rPr>
          <w:rFonts w:hint="default" w:ascii="Times New Roman" w:hAnsi="Times New Roman" w:eastAsia="方正仿宋_GBK" w:cs="Times New Roman"/>
          <w:szCs w:val="32"/>
          <w:lang w:val="en-US" w:eastAsia="zh-CN"/>
        </w:rPr>
        <w:t>巫山县汇馨环卫清洁有限责任</w:t>
      </w:r>
      <w:r>
        <w:rPr>
          <w:rFonts w:hint="eastAsia" w:ascii="方正仿宋_GBK" w:hAnsi="方正仿宋_GBK" w:eastAsia="方正仿宋_GBK" w:cs="方正仿宋_GBK"/>
          <w:sz w:val="32"/>
          <w:szCs w:val="32"/>
          <w:u w:val="none"/>
          <w:lang w:val="en-US" w:eastAsia="zh-CN"/>
        </w:rPr>
        <w:t>公司：</w:t>
      </w:r>
    </w:p>
    <w:p>
      <w:pPr>
        <w:spacing w:line="56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根据</w:t>
      </w:r>
      <w:r>
        <w:rPr>
          <w:rFonts w:hint="default" w:ascii="Times New Roman" w:hAnsi="Times New Roman" w:eastAsia="方正仿宋_GBK" w:cs="Times New Roman"/>
          <w:szCs w:val="32"/>
          <w:lang w:val="en-US" w:eastAsia="zh-CN"/>
        </w:rPr>
        <w:t>重庆市财政局</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val="en-US" w:eastAsia="zh-CN"/>
        </w:rPr>
        <w:t xml:space="preserve"> 关于提前下达202</w:t>
      </w:r>
      <w:r>
        <w:rPr>
          <w:rFonts w:hint="eastAsia" w:ascii="Times New Roman" w:hAnsi="Times New Roman" w:cs="Times New Roman"/>
          <w:szCs w:val="32"/>
          <w:lang w:val="en-US" w:eastAsia="zh-CN"/>
        </w:rPr>
        <w:t>3</w:t>
      </w:r>
      <w:r>
        <w:rPr>
          <w:rFonts w:hint="default" w:ascii="Times New Roman" w:hAnsi="Times New Roman" w:eastAsia="方正仿宋_GBK" w:cs="Times New Roman"/>
          <w:szCs w:val="32"/>
          <w:lang w:val="en-US" w:eastAsia="zh-CN"/>
        </w:rPr>
        <w:t>年市财政衔接推进乡村振兴补助资金预算的通知</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val="en-US" w:eastAsia="zh-CN"/>
        </w:rPr>
        <w:t>渝财农〔202</w:t>
      </w:r>
      <w:r>
        <w:rPr>
          <w:rFonts w:hint="eastAsia" w:ascii="Times New Roman" w:hAnsi="Times New Roman" w:cs="Times New Roman"/>
          <w:szCs w:val="32"/>
          <w:lang w:val="en-US" w:eastAsia="zh-CN"/>
        </w:rPr>
        <w:t>2</w:t>
      </w:r>
      <w:r>
        <w:rPr>
          <w:rFonts w:hint="default" w:ascii="Times New Roman" w:hAnsi="Times New Roman" w:eastAsia="方正仿宋_GBK" w:cs="Times New Roman"/>
          <w:szCs w:val="32"/>
          <w:lang w:val="en-US" w:eastAsia="zh-CN"/>
        </w:rPr>
        <w:t>〕1</w:t>
      </w:r>
      <w:r>
        <w:rPr>
          <w:rFonts w:hint="eastAsia" w:ascii="Times New Roman" w:hAnsi="Times New Roman" w:cs="Times New Roman"/>
          <w:szCs w:val="32"/>
          <w:lang w:val="en-US" w:eastAsia="zh-CN"/>
        </w:rPr>
        <w:t>55</w:t>
      </w:r>
      <w:r>
        <w:rPr>
          <w:rFonts w:hint="default" w:ascii="Times New Roman" w:hAnsi="Times New Roman" w:eastAsia="方正仿宋_GBK" w:cs="Times New Roman"/>
          <w:szCs w:val="32"/>
          <w:lang w:val="en-US" w:eastAsia="zh-CN"/>
        </w:rPr>
        <w:t>号</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val="en-US" w:eastAsia="zh-CN"/>
        </w:rPr>
        <w:t>精神</w:t>
      </w:r>
      <w:r>
        <w:rPr>
          <w:rFonts w:hint="default" w:ascii="Times New Roman" w:hAnsi="Times New Roman" w:eastAsia="方正仿宋_GBK" w:cs="Times New Roman"/>
          <w:szCs w:val="32"/>
        </w:rPr>
        <w:t>，现将202</w:t>
      </w:r>
      <w:r>
        <w:rPr>
          <w:rFonts w:hint="eastAsia" w:ascii="Times New Roman" w:hAnsi="Times New Roman" w:cs="Times New Roman"/>
          <w:szCs w:val="32"/>
          <w:lang w:val="en-US" w:eastAsia="zh-CN"/>
        </w:rPr>
        <w:t>3</w:t>
      </w:r>
      <w:r>
        <w:rPr>
          <w:rFonts w:hint="default" w:ascii="Times New Roman" w:hAnsi="Times New Roman" w:eastAsia="方正仿宋_GBK" w:cs="Times New Roman"/>
          <w:szCs w:val="32"/>
        </w:rPr>
        <w:t>年巩固脱贫攻坚成果和乡村振兴项目</w:t>
      </w:r>
      <w:r>
        <w:rPr>
          <w:rFonts w:hint="default" w:ascii="Times New Roman" w:hAnsi="Times New Roman" w:eastAsia="方正仿宋_GBK" w:cs="Times New Roman"/>
          <w:szCs w:val="32"/>
          <w:lang w:val="en-US" w:eastAsia="zh-CN"/>
        </w:rPr>
        <w:t>计划</w:t>
      </w:r>
      <w:r>
        <w:rPr>
          <w:rFonts w:hint="default" w:ascii="Times New Roman" w:hAnsi="Times New Roman" w:eastAsia="方正仿宋_GBK" w:cs="Times New Roman"/>
          <w:szCs w:val="32"/>
        </w:rPr>
        <w:t>下达你们，并就有关事项通知如下，请遵照执行。</w:t>
      </w:r>
    </w:p>
    <w:p>
      <w:pPr>
        <w:spacing w:line="560" w:lineRule="exact"/>
        <w:ind w:firstLine="640" w:firstLineChars="200"/>
        <w:rPr>
          <w:rFonts w:hint="default" w:ascii="方正黑体_GBK" w:hAnsi="方正黑体_GBK" w:eastAsia="方正黑体_GBK" w:cs="方正黑体_GBK"/>
          <w:szCs w:val="32"/>
          <w:lang w:val="en-US" w:eastAsia="zh-CN"/>
        </w:rPr>
      </w:pPr>
      <w:r>
        <w:rPr>
          <w:rFonts w:hint="eastAsia" w:ascii="方正黑体_GBK" w:hAnsi="方正黑体_GBK" w:eastAsia="方正黑体_GBK" w:cs="方正黑体_GBK"/>
          <w:szCs w:val="32"/>
        </w:rPr>
        <w:t>一、</w:t>
      </w:r>
      <w:r>
        <w:rPr>
          <w:rFonts w:hint="eastAsia" w:ascii="方正黑体_GBK" w:hAnsi="方正黑体_GBK" w:eastAsia="方正黑体_GBK" w:cs="方正黑体_GBK"/>
          <w:szCs w:val="32"/>
          <w:lang w:val="en-US" w:eastAsia="zh-CN"/>
        </w:rPr>
        <w:t>2023年巩固脱贫攻坚成果和乡村振兴项目计划</w:t>
      </w:r>
    </w:p>
    <w:p>
      <w:pPr>
        <w:adjustRightInd w:val="0"/>
        <w:snapToGrid w:val="0"/>
        <w:spacing w:line="560" w:lineRule="exact"/>
        <w:ind w:firstLine="640" w:firstLineChars="200"/>
        <w:jc w:val="left"/>
        <w:rPr>
          <w:rFonts w:hint="default" w:ascii="Times New Roman" w:hAnsi="Times New Roman" w:eastAsia="方正仿宋_GBK" w:cs="Times New Roman"/>
          <w:szCs w:val="32"/>
          <w:lang w:val="en-US" w:eastAsia="zh-CN"/>
        </w:rPr>
      </w:pPr>
      <w:r>
        <w:rPr>
          <w:rFonts w:hint="eastAsia" w:ascii="Times New Roman" w:hAnsi="Times New Roman" w:eastAsia="方正仿宋_GBK" w:cs="Times New Roman"/>
          <w:szCs w:val="32"/>
          <w:lang w:val="en-US" w:eastAsia="zh-CN"/>
        </w:rPr>
        <w:t>本次下达202</w:t>
      </w:r>
      <w:r>
        <w:rPr>
          <w:rFonts w:hint="eastAsia" w:ascii="Times New Roman" w:hAnsi="Times New Roman" w:cs="Times New Roman"/>
          <w:szCs w:val="32"/>
          <w:lang w:val="en-US" w:eastAsia="zh-CN"/>
        </w:rPr>
        <w:t>3</w:t>
      </w:r>
      <w:r>
        <w:rPr>
          <w:rFonts w:hint="eastAsia" w:ascii="Times New Roman" w:hAnsi="Times New Roman" w:eastAsia="方正仿宋_GBK" w:cs="Times New Roman"/>
          <w:szCs w:val="32"/>
          <w:lang w:val="en-US" w:eastAsia="zh-CN"/>
        </w:rPr>
        <w:t>年巩固脱贫攻坚成果和乡村振兴项目</w:t>
      </w:r>
      <w:r>
        <w:rPr>
          <w:rFonts w:hint="eastAsia" w:ascii="Times New Roman" w:hAnsi="Times New Roman" w:cs="Times New Roman"/>
          <w:szCs w:val="32"/>
          <w:lang w:val="en-US" w:eastAsia="zh-CN"/>
        </w:rPr>
        <w:t>1</w:t>
      </w:r>
      <w:r>
        <w:rPr>
          <w:rFonts w:hint="eastAsia" w:ascii="Times New Roman" w:hAnsi="Times New Roman" w:eastAsia="方正仿宋_GBK" w:cs="Times New Roman"/>
          <w:szCs w:val="32"/>
          <w:lang w:val="en-US" w:eastAsia="zh-CN"/>
        </w:rPr>
        <w:t>个，核定202</w:t>
      </w:r>
      <w:r>
        <w:rPr>
          <w:rFonts w:hint="eastAsia" w:ascii="Times New Roman" w:hAnsi="Times New Roman" w:cs="Times New Roman"/>
          <w:szCs w:val="32"/>
          <w:lang w:val="en-US" w:eastAsia="zh-CN"/>
        </w:rPr>
        <w:t>3</w:t>
      </w:r>
      <w:r>
        <w:rPr>
          <w:rFonts w:hint="eastAsia" w:ascii="Times New Roman" w:hAnsi="Times New Roman" w:eastAsia="方正仿宋_GBK" w:cs="Times New Roman"/>
          <w:szCs w:val="32"/>
          <w:lang w:val="en-US" w:eastAsia="zh-CN"/>
        </w:rPr>
        <w:t>年度衔接推进乡村振兴补助资金3</w:t>
      </w:r>
      <w:r>
        <w:rPr>
          <w:rFonts w:hint="eastAsia" w:ascii="Times New Roman" w:hAnsi="Times New Roman" w:cs="Times New Roman"/>
          <w:szCs w:val="32"/>
          <w:lang w:val="en-US" w:eastAsia="zh-CN"/>
        </w:rPr>
        <w:t>00</w:t>
      </w:r>
      <w:r>
        <w:rPr>
          <w:rFonts w:hint="eastAsia" w:ascii="Times New Roman" w:hAnsi="Times New Roman" w:eastAsia="方正仿宋_GBK" w:cs="Times New Roman"/>
          <w:szCs w:val="32"/>
          <w:lang w:val="en-US" w:eastAsia="zh-CN"/>
        </w:rPr>
        <w:t>万元。</w:t>
      </w:r>
      <w:r>
        <w:rPr>
          <w:rFonts w:hint="default" w:ascii="Times New Roman" w:hAnsi="Times New Roman" w:eastAsia="方正仿宋_GBK" w:cs="Times New Roman"/>
          <w:szCs w:val="32"/>
          <w:lang w:val="en-US" w:eastAsia="zh-CN"/>
        </w:rPr>
        <w:t>项目具体情况见附件。</w:t>
      </w:r>
    </w:p>
    <w:p>
      <w:pPr>
        <w:spacing w:line="560" w:lineRule="exact"/>
        <w:ind w:firstLine="640" w:firstLineChars="200"/>
        <w:rPr>
          <w:rFonts w:eastAsia="方正黑体_GBK"/>
          <w:szCs w:val="32"/>
        </w:rPr>
      </w:pPr>
      <w:r>
        <w:rPr>
          <w:rFonts w:hint="eastAsia" w:eastAsia="方正黑体_GBK"/>
          <w:szCs w:val="32"/>
        </w:rPr>
        <w:t>二、有关说明及要求</w:t>
      </w:r>
    </w:p>
    <w:p>
      <w:pPr>
        <w:adjustRightInd w:val="0"/>
        <w:snapToGrid w:val="0"/>
        <w:spacing w:line="560" w:lineRule="exact"/>
        <w:ind w:firstLine="640" w:firstLineChars="200"/>
        <w:jc w:val="left"/>
        <w:rPr>
          <w:rFonts w:hint="eastAsia" w:ascii="Times New Roman" w:hAnsi="Times New Roman" w:eastAsia="方正仿宋_GBK" w:cs="Times New Roman"/>
          <w:szCs w:val="32"/>
          <w:lang w:val="en-US" w:eastAsia="zh-CN"/>
        </w:rPr>
      </w:pPr>
      <w:r>
        <w:rPr>
          <w:rFonts w:hint="eastAsia" w:ascii="Times New Roman" w:hAnsi="Times New Roman" w:eastAsia="方正仿宋_GBK" w:cs="Times New Roman"/>
          <w:szCs w:val="32"/>
          <w:lang w:val="en-US" w:eastAsia="zh-CN"/>
        </w:rPr>
        <w:t>（一）要高度重视巩固脱贫攻坚成果和乡村振兴工作，加强组织领导，认真履行各自管理职责，落实责任主体，注重配合协调，进一步加强对资金落实、项目进度、工程质量、投资使用等项目实施各环节监督检查和指导，确保项目的顺利实施。</w:t>
      </w:r>
    </w:p>
    <w:p>
      <w:pPr>
        <w:adjustRightInd w:val="0"/>
        <w:snapToGrid w:val="0"/>
        <w:spacing w:line="560" w:lineRule="exact"/>
        <w:ind w:firstLine="640" w:firstLineChars="200"/>
        <w:jc w:val="left"/>
        <w:rPr>
          <w:rFonts w:hint="eastAsia" w:ascii="方正仿宋_GBK" w:hAnsi="方正仿宋_GBK" w:cs="方正仿宋_GBK"/>
          <w:sz w:val="32"/>
          <w:szCs w:val="32"/>
          <w:u w:val="none"/>
          <w:lang w:val="en-US" w:eastAsia="zh-CN"/>
        </w:rPr>
      </w:pPr>
      <w:r>
        <w:rPr>
          <w:rFonts w:hint="eastAsia" w:ascii="Times New Roman" w:hAnsi="Times New Roman" w:eastAsia="方正仿宋_GBK" w:cs="Times New Roman"/>
          <w:szCs w:val="32"/>
          <w:lang w:val="en-US" w:eastAsia="zh-CN"/>
        </w:rPr>
        <w:t>（二）请严格执行国家和重庆市关于衔接推进乡村振兴补助资金管理的相关规定，工程建设类项目要严格按照基本建设程序和批准的建设内容及规模开工建设。项目具体组织实施必须落实项目法人或责任单位，开展招投标工作和工程建设监理，加强项目合同、档案和统计信息管理，按照合同及相关规定要求及时准确地收集、整理和报送有关资料，项目完成后要及时办理竣工结算，组织竣工验收</w:t>
      </w:r>
      <w:r>
        <w:rPr>
          <w:rFonts w:hint="eastAsia" w:ascii="方正仿宋_GBK" w:hAnsi="方正仿宋_GBK" w:cs="方正仿宋_GBK"/>
          <w:sz w:val="32"/>
          <w:szCs w:val="32"/>
          <w:u w:val="none"/>
          <w:lang w:val="en-US" w:eastAsia="zh-CN"/>
        </w:rPr>
        <w:t>。</w:t>
      </w:r>
    </w:p>
    <w:p>
      <w:pPr>
        <w:adjustRightInd w:val="0"/>
        <w:snapToGrid w:val="0"/>
        <w:spacing w:line="560" w:lineRule="exact"/>
        <w:ind w:firstLine="640" w:firstLineChars="200"/>
        <w:jc w:val="left"/>
        <w:rPr>
          <w:rFonts w:hint="eastAsia" w:ascii="Times New Roman" w:hAnsi="Times New Roman" w:eastAsia="方正仿宋_GBK" w:cs="Times New Roman"/>
          <w:szCs w:val="32"/>
          <w:lang w:val="en-US" w:eastAsia="zh-CN"/>
        </w:rPr>
      </w:pPr>
      <w:r>
        <w:rPr>
          <w:rFonts w:hint="eastAsia" w:ascii="Times New Roman" w:hAnsi="Times New Roman" w:eastAsia="方正仿宋_GBK" w:cs="Times New Roman"/>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pPr>
    </w:p>
    <w:p>
      <w:pPr>
        <w:adjustRightInd w:val="0"/>
        <w:snapToGrid w:val="0"/>
        <w:spacing w:line="560" w:lineRule="exact"/>
        <w:ind w:firstLine="640" w:firstLineChars="200"/>
        <w:jc w:val="left"/>
        <w:rPr>
          <w:rFonts w:hint="eastAsia" w:ascii="Times New Roman" w:hAnsi="Times New Roman" w:eastAsia="方正仿宋_GBK" w:cs="Times New Roman"/>
          <w:szCs w:val="32"/>
          <w:lang w:val="en-US" w:eastAsia="zh-CN"/>
        </w:rPr>
      </w:pPr>
      <w:r>
        <w:rPr>
          <w:rFonts w:hint="eastAsia" w:ascii="Times New Roman" w:hAnsi="Times New Roman" w:eastAsia="方正仿宋_GBK" w:cs="Times New Roman"/>
          <w:szCs w:val="32"/>
          <w:lang w:val="en-US" w:eastAsia="zh-CN"/>
        </w:rPr>
        <w:t>附件：巫山县城市管理局巩固脱贫攻坚成果和乡村振兴</w:t>
      </w:r>
    </w:p>
    <w:p>
      <w:pPr>
        <w:adjustRightInd w:val="0"/>
        <w:snapToGrid w:val="0"/>
        <w:spacing w:line="560" w:lineRule="exact"/>
        <w:ind w:firstLine="1600" w:firstLineChars="500"/>
        <w:jc w:val="left"/>
        <w:rPr>
          <w:rFonts w:hint="eastAsia" w:ascii="Times New Roman" w:hAnsi="Times New Roman" w:eastAsia="方正仿宋_GBK" w:cs="Times New Roman"/>
          <w:szCs w:val="32"/>
          <w:lang w:val="en-US" w:eastAsia="zh-CN"/>
        </w:rPr>
      </w:pPr>
      <w:r>
        <w:rPr>
          <w:rFonts w:hint="eastAsia" w:ascii="Times New Roman" w:hAnsi="Times New Roman" w:eastAsia="方正仿宋_GBK" w:cs="Times New Roman"/>
          <w:szCs w:val="32"/>
          <w:lang w:val="en-US" w:eastAsia="zh-CN"/>
        </w:rPr>
        <w:t>项目明细表</w:t>
      </w:r>
    </w:p>
    <w:p>
      <w:pPr>
        <w:spacing w:line="560" w:lineRule="exact"/>
        <w:jc w:val="both"/>
      </w:pPr>
    </w:p>
    <w:p>
      <w:pPr>
        <w:pStyle w:val="2"/>
      </w:pPr>
    </w:p>
    <w:p/>
    <w:p>
      <w:pPr>
        <w:sectPr>
          <w:headerReference r:id="rId3" w:type="default"/>
          <w:footerReference r:id="rId4" w:type="default"/>
          <w:pgSz w:w="11906" w:h="16838"/>
          <w:pgMar w:top="2098" w:right="1474" w:bottom="1984" w:left="1587" w:header="1361" w:footer="1474" w:gutter="0"/>
          <w:pgNumType w:fmt="numberInDash"/>
          <w:cols w:space="0" w:num="1"/>
          <w:rtlGutter w:val="0"/>
          <w:docGrid w:type="lines" w:linePitch="439" w:charSpace="0"/>
        </w:sectPr>
      </w:pPr>
      <w:r>
        <w:br w:type="page"/>
      </w:r>
    </w:p>
    <w:p>
      <w:pPr>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附件</w:t>
      </w:r>
    </w:p>
    <w:tbl>
      <w:tblPr>
        <w:tblStyle w:val="9"/>
        <w:tblW w:w="1456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6"/>
        <w:gridCol w:w="583"/>
        <w:gridCol w:w="689"/>
        <w:gridCol w:w="531"/>
        <w:gridCol w:w="1424"/>
        <w:gridCol w:w="378"/>
        <w:gridCol w:w="593"/>
        <w:gridCol w:w="814"/>
        <w:gridCol w:w="561"/>
        <w:gridCol w:w="1020"/>
        <w:gridCol w:w="822"/>
        <w:gridCol w:w="923"/>
        <w:gridCol w:w="767"/>
        <w:gridCol w:w="860"/>
        <w:gridCol w:w="707"/>
        <w:gridCol w:w="1390"/>
        <w:gridCol w:w="443"/>
        <w:gridCol w:w="997"/>
        <w:gridCol w:w="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5" w:hRule="atLeast"/>
          <w:jc w:val="center"/>
        </w:trPr>
        <w:tc>
          <w:tcPr>
            <w:tcW w:w="14565" w:type="dxa"/>
            <w:gridSpan w:val="1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方正小标宋_GBK" w:hAnsi="方正小标宋_GBK" w:eastAsia="方正小标宋_GBK" w:cs="方正小标宋_GBK"/>
                <w:i w:val="0"/>
                <w:color w:val="000000"/>
                <w:kern w:val="0"/>
                <w:sz w:val="44"/>
                <w:szCs w:val="44"/>
                <w:u w:val="none"/>
                <w:lang w:val="en-US" w:eastAsia="zh-CN" w:bidi="ar"/>
              </w:rPr>
              <w:t>巫山县城市管理局巩固脱贫攻坚成果和乡村振兴项目明细表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4" w:hRule="atLeast"/>
          <w:jc w:val="center"/>
        </w:trPr>
        <w:tc>
          <w:tcPr>
            <w:tcW w:w="396"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8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89"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31"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2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7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9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1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1"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2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2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6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0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9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4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64" w:type="dxa"/>
            <w:gridSpan w:val="2"/>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3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序号</w:t>
            </w:r>
          </w:p>
        </w:tc>
        <w:tc>
          <w:tcPr>
            <w:tcW w:w="5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项目名称</w:t>
            </w:r>
          </w:p>
        </w:tc>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建设地点</w:t>
            </w:r>
          </w:p>
        </w:tc>
        <w:tc>
          <w:tcPr>
            <w:tcW w:w="7066"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绩效目标申报</w:t>
            </w:r>
          </w:p>
        </w:tc>
        <w:tc>
          <w:tcPr>
            <w:tcW w:w="7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项目法人或责任单位</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项目类型</w:t>
            </w:r>
          </w:p>
        </w:tc>
        <w:tc>
          <w:tcPr>
            <w:tcW w:w="7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计划建设或实施期限</w:t>
            </w:r>
          </w:p>
        </w:tc>
        <w:tc>
          <w:tcPr>
            <w:tcW w:w="1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建设内容和规模</w:t>
            </w:r>
          </w:p>
        </w:tc>
        <w:tc>
          <w:tcPr>
            <w:tcW w:w="4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项目总投资</w:t>
            </w:r>
          </w:p>
        </w:tc>
        <w:tc>
          <w:tcPr>
            <w:tcW w:w="9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核定2023年度衔接推进乡村振兴补助资金</w:t>
            </w: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3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53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年度总目标</w:t>
            </w:r>
          </w:p>
        </w:tc>
        <w:tc>
          <w:tcPr>
            <w:tcW w:w="320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240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9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p>
        </w:tc>
        <w:tc>
          <w:tcPr>
            <w:tcW w:w="7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1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4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3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8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可持续效益</w:t>
            </w:r>
          </w:p>
        </w:tc>
        <w:tc>
          <w:tcPr>
            <w:tcW w:w="9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7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1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4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_GBK" w:hAnsi="方正小标宋_GBK" w:eastAsia="方正小标宋_GBK" w:cs="方正小标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80" w:hRule="atLeast"/>
          <w:jc w:val="center"/>
        </w:trPr>
        <w:tc>
          <w:tcPr>
            <w:tcW w:w="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巫山县行政村生活垃圾分类示范点建设工程</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巫山县</w:t>
            </w:r>
            <w:r>
              <w:rPr>
                <w:rStyle w:val="13"/>
                <w:rFonts w:hint="eastAsia" w:eastAsia="宋体"/>
                <w:lang w:val="en-US" w:eastAsia="zh-CN" w:bidi="ar"/>
              </w:rPr>
              <w:t>15</w:t>
            </w:r>
            <w:r>
              <w:rPr>
                <w:rStyle w:val="12"/>
                <w:lang w:val="en-US" w:eastAsia="zh-CN" w:bidi="ar"/>
              </w:rPr>
              <w:t>个行政村</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完成</w:t>
            </w:r>
            <w:r>
              <w:rPr>
                <w:rStyle w:val="13"/>
                <w:rFonts w:hint="eastAsia" w:eastAsia="宋体"/>
                <w:lang w:val="en-US" w:eastAsia="zh-CN" w:bidi="ar"/>
              </w:rPr>
              <w:t>15</w:t>
            </w:r>
            <w:r>
              <w:rPr>
                <w:rStyle w:val="12"/>
                <w:lang w:val="en-US" w:eastAsia="zh-CN" w:bidi="ar"/>
              </w:rPr>
              <w:t>个生活垃圾分类示范村建设</w:t>
            </w: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Style w:val="12"/>
                <w:lang w:val="en-US" w:eastAsia="zh-CN" w:bidi="ar"/>
              </w:rPr>
              <w:t>巫山县</w:t>
            </w:r>
            <w:r>
              <w:rPr>
                <w:rStyle w:val="13"/>
                <w:rFonts w:hint="eastAsia" w:eastAsia="宋体"/>
                <w:lang w:val="en-US" w:eastAsia="zh-CN" w:bidi="ar"/>
              </w:rPr>
              <w:t>15</w:t>
            </w:r>
            <w:r>
              <w:rPr>
                <w:rStyle w:val="12"/>
                <w:lang w:val="en-US" w:eastAsia="zh-CN" w:bidi="ar"/>
              </w:rPr>
              <w:t>个行政村开展生活垃圾分类市级示范村建设</w:t>
            </w:r>
          </w:p>
        </w:tc>
        <w:tc>
          <w:tcPr>
            <w:tcW w:w="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工程质量合格</w:t>
            </w:r>
          </w:p>
        </w:tc>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项目完成及时率</w:t>
            </w:r>
            <w:r>
              <w:rPr>
                <w:rStyle w:val="13"/>
                <w:rFonts w:eastAsia="宋体"/>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3"/>
                <w:rFonts w:hint="eastAsia" w:eastAsia="宋体"/>
                <w:lang w:val="en-US" w:eastAsia="zh-CN" w:bidi="ar"/>
              </w:rPr>
              <w:t>20</w:t>
            </w:r>
            <w:r>
              <w:rPr>
                <w:rStyle w:val="12"/>
                <w:lang w:val="en-US" w:eastAsia="zh-CN" w:bidi="ar"/>
              </w:rPr>
              <w:t>万元</w:t>
            </w:r>
            <w:r>
              <w:rPr>
                <w:rStyle w:val="13"/>
                <w:rFonts w:eastAsia="宋体"/>
                <w:lang w:val="en-US" w:eastAsia="zh-CN" w:bidi="ar"/>
              </w:rPr>
              <w:t>/</w:t>
            </w:r>
            <w:r>
              <w:rPr>
                <w:rStyle w:val="12"/>
                <w:lang w:val="en-US" w:eastAsia="zh-CN" w:bidi="ar"/>
              </w:rPr>
              <w:t>行政村</w:t>
            </w: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Style w:val="12"/>
                <w:lang w:val="en-US" w:eastAsia="zh-CN" w:bidi="ar"/>
              </w:rPr>
              <w:t>受益脱贫人口</w:t>
            </w:r>
            <w:r>
              <w:rPr>
                <w:rStyle w:val="13"/>
                <w:rFonts w:eastAsia="方正仿宋_GBK"/>
                <w:lang w:val="en-US" w:eastAsia="zh-CN" w:bidi="ar"/>
              </w:rPr>
              <w:t>≥1600</w:t>
            </w:r>
            <w:r>
              <w:rPr>
                <w:rStyle w:val="12"/>
                <w:lang w:val="en-US" w:eastAsia="zh-CN" w:bidi="ar"/>
              </w:rPr>
              <w:t>人</w:t>
            </w:r>
          </w:p>
        </w:tc>
        <w:tc>
          <w:tcPr>
            <w:tcW w:w="8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使用年限</w:t>
            </w:r>
            <w:r>
              <w:rPr>
                <w:rStyle w:val="13"/>
                <w:rFonts w:eastAsia="宋体"/>
                <w:lang w:val="en-US" w:eastAsia="zh-CN" w:bidi="ar"/>
              </w:rPr>
              <w:t>≥5</w:t>
            </w:r>
            <w:r>
              <w:rPr>
                <w:rStyle w:val="12"/>
                <w:lang w:val="en-US" w:eastAsia="zh-CN" w:bidi="ar"/>
              </w:rPr>
              <w:t>年</w:t>
            </w: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受助脱贫户满意度</w:t>
            </w:r>
            <w:r>
              <w:rPr>
                <w:rStyle w:val="13"/>
                <w:rFonts w:eastAsia="宋体"/>
                <w:lang w:val="en-US" w:eastAsia="zh-CN" w:bidi="ar"/>
              </w:rPr>
              <w:t>≥99%</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巫山县汇馨环卫清洁有限责任公司</w:t>
            </w:r>
          </w:p>
        </w:tc>
        <w:tc>
          <w:tcPr>
            <w:tcW w:w="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新建</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w:t>
            </w:r>
            <w:r>
              <w:rPr>
                <w:rFonts w:hint="eastAsia" w:ascii="Times New Roman" w:hAnsi="Times New Roman" w:eastAsia="宋体" w:cs="Times New Roman"/>
                <w:i w:val="0"/>
                <w:color w:val="000000"/>
                <w:kern w:val="0"/>
                <w:sz w:val="24"/>
                <w:szCs w:val="24"/>
                <w:u w:val="none"/>
                <w:lang w:val="en-US" w:eastAsia="zh-CN" w:bidi="ar"/>
              </w:rPr>
              <w:t>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2"/>
                <w:szCs w:val="22"/>
                <w:u w:val="none"/>
              </w:rPr>
            </w:pPr>
            <w:r>
              <w:rPr>
                <w:rStyle w:val="12"/>
                <w:lang w:val="en-US" w:eastAsia="zh-CN" w:bidi="ar"/>
              </w:rPr>
              <w:t>巫山县</w:t>
            </w:r>
            <w:r>
              <w:rPr>
                <w:rStyle w:val="13"/>
                <w:rFonts w:hint="eastAsia" w:eastAsia="宋体"/>
                <w:lang w:val="en-US" w:eastAsia="zh-CN" w:bidi="ar"/>
              </w:rPr>
              <w:t>15</w:t>
            </w:r>
            <w:r>
              <w:rPr>
                <w:rStyle w:val="12"/>
                <w:lang w:val="en-US" w:eastAsia="zh-CN" w:bidi="ar"/>
              </w:rPr>
              <w:t>个行政村开展生活垃圾分类市级示范村建设</w:t>
            </w:r>
          </w:p>
        </w:tc>
        <w:tc>
          <w:tcPr>
            <w:tcW w:w="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300</w:t>
            </w:r>
          </w:p>
        </w:tc>
        <w:tc>
          <w:tcPr>
            <w:tcW w:w="9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300</w:t>
            </w:r>
          </w:p>
        </w:tc>
        <w:tc>
          <w:tcPr>
            <w:tcW w:w="6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color w:val="000000"/>
                <w:sz w:val="24"/>
                <w:szCs w:val="24"/>
                <w:u w:val="none"/>
              </w:rPr>
            </w:pPr>
          </w:p>
        </w:tc>
      </w:tr>
    </w:tbl>
    <w:p>
      <w:pPr>
        <w:sectPr>
          <w:pgSz w:w="16838" w:h="11906" w:orient="landscape"/>
          <w:pgMar w:top="1587" w:right="2098" w:bottom="1474" w:left="1984" w:header="1361" w:footer="1474" w:gutter="0"/>
          <w:pgNumType w:fmt="numberInDash"/>
          <w:cols w:space="0" w:num="1"/>
          <w:rtlGutter w:val="0"/>
          <w:docGrid w:type="lines" w:linePitch="439" w:charSpace="0"/>
        </w:sectPr>
      </w:pPr>
    </w:p>
    <w:p>
      <w:pPr>
        <w:pStyle w:val="8"/>
      </w:pPr>
    </w:p>
    <w:p>
      <w:pPr>
        <w:pStyle w:val="2"/>
      </w:pPr>
    </w:p>
    <w:p/>
    <w:p>
      <w:pPr>
        <w:pStyle w:val="2"/>
      </w:pPr>
    </w:p>
    <w:p>
      <w:pPr>
        <w:spacing w:line="560" w:lineRule="exact"/>
        <w:ind w:firstLine="645"/>
        <w:jc w:val="both"/>
        <w:rPr>
          <w:rFonts w:hint="eastAsia" w:ascii="方正仿宋_GBK" w:hAnsi="方正仿宋_GBK" w:eastAsia="方正仿宋_GBK" w:cs="方正仿宋_GBK"/>
          <w:sz w:val="32"/>
          <w:szCs w:val="32"/>
          <w:u w:val="none"/>
          <w:lang w:val="en-US" w:eastAsia="zh-CN"/>
        </w:rPr>
      </w:pPr>
      <w:r>
        <w:rPr>
          <w:rFonts w:hint="eastAsia" w:ascii="方正仿宋_GBK" w:hAnsi="方正仿宋_GBK" w:cs="方正仿宋_GBK"/>
          <w:sz w:val="32"/>
          <w:szCs w:val="32"/>
          <w:u w:val="none"/>
          <w:lang w:val="en-US" w:eastAsia="zh-CN"/>
        </w:rPr>
        <w:t xml:space="preserve">                           巫山县城市管理局</w:t>
      </w:r>
      <w:r>
        <w:rPr>
          <w:rFonts w:hint="eastAsia" w:ascii="方正仿宋_GBK" w:hAnsi="方正仿宋_GBK" w:eastAsia="方正仿宋_GBK" w:cs="方正仿宋_GBK"/>
          <w:sz w:val="32"/>
          <w:szCs w:val="32"/>
          <w:u w:val="none"/>
          <w:lang w:val="en-US" w:eastAsia="zh-CN"/>
        </w:rPr>
        <w:t xml:space="preserve">                     </w:t>
      </w:r>
    </w:p>
    <w:p>
      <w:pPr>
        <w:spacing w:line="560" w:lineRule="exact"/>
        <w:ind w:firstLine="645"/>
        <w:jc w:val="both"/>
        <w:rPr>
          <w:szCs w:val="32"/>
        </w:rPr>
      </w:pPr>
      <w:r>
        <w:rPr>
          <w:rFonts w:hint="eastAsia" w:ascii="方正仿宋_GBK" w:hAnsi="方正仿宋_GBK" w:cs="方正仿宋_GBK"/>
          <w:sz w:val="32"/>
          <w:szCs w:val="32"/>
          <w:u w:val="none"/>
          <w:lang w:val="en-US" w:eastAsia="zh-CN"/>
        </w:rPr>
        <w:t xml:space="preserve">                           </w:t>
      </w:r>
      <w:r>
        <w:rPr>
          <w:rFonts w:hint="default" w:ascii="Times New Roman" w:hAnsi="Times New Roman" w:eastAsia="方正仿宋_GBK" w:cs="Times New Roman"/>
          <w:sz w:val="32"/>
          <w:szCs w:val="32"/>
          <w:u w:val="none"/>
          <w:lang w:val="en-US" w:eastAsia="zh-CN"/>
        </w:rPr>
        <w:t>202</w:t>
      </w:r>
      <w:r>
        <w:rPr>
          <w:rFonts w:hint="default" w:ascii="Times New Roman" w:hAnsi="Times New Roman" w:cs="Times New Roman"/>
          <w:sz w:val="32"/>
          <w:szCs w:val="32"/>
          <w:u w:val="none"/>
          <w:lang w:val="en-US" w:eastAsia="zh-CN"/>
        </w:rPr>
        <w:t>2</w:t>
      </w:r>
      <w:r>
        <w:rPr>
          <w:rFonts w:hint="default" w:ascii="Times New Roman" w:hAnsi="Times New Roman" w:eastAsia="方正仿宋_GBK" w:cs="Times New Roman"/>
          <w:sz w:val="32"/>
          <w:szCs w:val="32"/>
          <w:u w:val="none"/>
          <w:lang w:val="en-US" w:eastAsia="zh-CN"/>
        </w:rPr>
        <w:t>年</w:t>
      </w:r>
      <w:r>
        <w:rPr>
          <w:rFonts w:hint="eastAsia" w:ascii="Times New Roman" w:hAnsi="Times New Roman" w:cs="Times New Roman"/>
          <w:sz w:val="32"/>
          <w:szCs w:val="32"/>
          <w:u w:val="none"/>
          <w:lang w:val="en-US" w:eastAsia="zh-CN"/>
        </w:rPr>
        <w:t>12</w:t>
      </w:r>
      <w:r>
        <w:rPr>
          <w:rFonts w:hint="default" w:ascii="Times New Roman" w:hAnsi="Times New Roman" w:eastAsia="方正仿宋_GBK" w:cs="Times New Roman"/>
          <w:sz w:val="32"/>
          <w:szCs w:val="32"/>
          <w:u w:val="none"/>
          <w:lang w:val="en-US" w:eastAsia="zh-CN"/>
        </w:rPr>
        <w:t>月</w:t>
      </w:r>
      <w:r>
        <w:rPr>
          <w:rFonts w:hint="eastAsia" w:ascii="Times New Roman" w:hAnsi="Times New Roman" w:cs="Times New Roman"/>
          <w:sz w:val="32"/>
          <w:szCs w:val="32"/>
          <w:u w:val="none"/>
          <w:lang w:val="en-US" w:eastAsia="zh-CN"/>
        </w:rPr>
        <w:t>29</w:t>
      </w:r>
      <w:r>
        <w:rPr>
          <w:rFonts w:hint="default" w:ascii="Times New Roman" w:hAnsi="Times New Roman" w:eastAsia="方正仿宋_GBK" w:cs="Times New Roman"/>
          <w:sz w:val="32"/>
          <w:szCs w:val="32"/>
          <w:u w:val="none"/>
          <w:lang w:val="en-US" w:eastAsia="zh-CN"/>
        </w:rPr>
        <w:t>日</w:t>
      </w:r>
      <w:r>
        <w:rPr>
          <w:rFonts w:hint="eastAsia" w:ascii="方正仿宋_GBK" w:hAnsi="方正仿宋_GBK" w:cs="方正仿宋_GBK"/>
          <w:color w:val="FFFFFF" w:themeColor="background1"/>
          <w:sz w:val="32"/>
          <w:szCs w:val="32"/>
          <w:u w:val="none"/>
          <w:lang w:val="en-US" w:eastAsia="zh-CN"/>
          <w14:textFill>
            <w14:solidFill>
              <w14:schemeClr w14:val="bg1"/>
            </w14:solidFill>
          </w14:textFill>
        </w:rPr>
        <w:t>日日日日</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cs="Times New Roman"/>
          <w:kern w:val="2"/>
          <w:sz w:val="32"/>
          <w:szCs w:val="32"/>
          <w:lang w:val="en-US" w:eastAsia="zh-CN"/>
        </w:rPr>
        <w:t>(此件公开发布）</w:t>
      </w:r>
      <w:bookmarkStart w:id="0" w:name="_GoBack"/>
      <w:bookmarkEnd w:id="0"/>
    </w:p>
    <w:p>
      <w:pPr>
        <w:pStyle w:val="3"/>
        <w:pageBreakBefore w:val="0"/>
        <w:widowControl w:val="0"/>
        <w:kinsoku/>
        <w:wordWrap/>
        <w:overflowPunct/>
        <w:topLinePunct w:val="0"/>
        <w:autoSpaceDE/>
        <w:autoSpaceDN/>
        <w:bidi w:val="0"/>
        <w:adjustRightInd/>
        <w:snapToGrid w:val="0"/>
        <w:spacing w:before="0" w:after="0" w:line="240" w:lineRule="auto"/>
        <w:textAlignment w:val="auto"/>
        <w:rPr>
          <w:rFonts w:hint="default"/>
          <w:lang w:val="en-US" w:eastAsia="zh-CN"/>
        </w:rPr>
      </w:pPr>
    </w:p>
    <w:p>
      <w:pPr>
        <w:pStyle w:val="3"/>
        <w:pageBreakBefore w:val="0"/>
        <w:widowControl w:val="0"/>
        <w:kinsoku/>
        <w:wordWrap/>
        <w:overflowPunct/>
        <w:topLinePunct w:val="0"/>
        <w:autoSpaceDE/>
        <w:autoSpaceDN/>
        <w:bidi w:val="0"/>
        <w:adjustRightInd/>
        <w:snapToGrid w:val="0"/>
        <w:spacing w:before="0" w:after="0" w:line="240" w:lineRule="auto"/>
        <w:textAlignment w:val="auto"/>
        <w:rPr>
          <w:rFonts w:hint="default" w:ascii="Times New Roman" w:hAnsi="Times New Roman" w:eastAsia="方正仿宋_GBK" w:cs="Times New Roman"/>
          <w:b w:val="0"/>
          <w:bCs w:val="0"/>
          <w:sz w:val="32"/>
          <w:szCs w:val="32"/>
          <w:lang w:val="en-US" w:eastAsia="zh-CN"/>
        </w:rPr>
      </w:pPr>
    </w:p>
    <w:p>
      <w:pPr>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b w:val="0"/>
          <w:bCs w:val="0"/>
          <w:sz w:val="32"/>
          <w:szCs w:val="32"/>
          <w:lang w:val="en-US" w:eastAsia="zh-CN"/>
        </w:rPr>
      </w:pPr>
    </w:p>
    <w:p>
      <w:pPr>
        <w:pStyle w:val="3"/>
        <w:pageBreakBefore w:val="0"/>
        <w:widowControl w:val="0"/>
        <w:kinsoku/>
        <w:wordWrap/>
        <w:overflowPunct/>
        <w:topLinePunct w:val="0"/>
        <w:autoSpaceDE/>
        <w:autoSpaceDN/>
        <w:bidi w:val="0"/>
        <w:adjustRightInd/>
        <w:snapToGrid w:val="0"/>
        <w:spacing w:before="0" w:after="0" w:line="240" w:lineRule="auto"/>
        <w:textAlignment w:val="auto"/>
        <w:rPr>
          <w:rFonts w:hint="default"/>
          <w:lang w:val="en-US" w:eastAsia="zh-CN"/>
        </w:rPr>
      </w:pPr>
    </w:p>
    <w:p>
      <w:pPr>
        <w:pageBreakBefore w:val="0"/>
        <w:widowControl w:val="0"/>
        <w:kinsoku/>
        <w:wordWrap/>
        <w:overflowPunct/>
        <w:topLinePunct w:val="0"/>
        <w:autoSpaceDE/>
        <w:autoSpaceDN/>
        <w:bidi w:val="0"/>
        <w:adjustRightInd/>
        <w:snapToGrid w:val="0"/>
        <w:spacing w:line="240" w:lineRule="auto"/>
        <w:textAlignment w:val="auto"/>
        <w:rPr>
          <w:rFonts w:hint="default"/>
          <w:lang w:val="en-US" w:eastAsia="zh-CN"/>
        </w:rPr>
      </w:pPr>
    </w:p>
    <w:p>
      <w:pPr>
        <w:pStyle w:val="3"/>
        <w:pageBreakBefore w:val="0"/>
        <w:widowControl w:val="0"/>
        <w:kinsoku/>
        <w:wordWrap/>
        <w:overflowPunct/>
        <w:topLinePunct w:val="0"/>
        <w:autoSpaceDE/>
        <w:autoSpaceDN/>
        <w:bidi w:val="0"/>
        <w:adjustRightInd/>
        <w:snapToGrid w:val="0"/>
        <w:spacing w:before="0" w:after="0" w:line="240" w:lineRule="auto"/>
        <w:textAlignment w:val="auto"/>
        <w:rPr>
          <w:rFonts w:hint="default"/>
          <w:lang w:val="en-US" w:eastAsia="zh-CN"/>
        </w:rPr>
      </w:pPr>
    </w:p>
    <w:p>
      <w:pPr>
        <w:pageBreakBefore w:val="0"/>
        <w:widowControl w:val="0"/>
        <w:kinsoku/>
        <w:wordWrap/>
        <w:overflowPunct/>
        <w:topLinePunct w:val="0"/>
        <w:autoSpaceDE/>
        <w:autoSpaceDN/>
        <w:bidi w:val="0"/>
        <w:adjustRightInd/>
        <w:snapToGrid w:val="0"/>
        <w:spacing w:line="240" w:lineRule="auto"/>
        <w:textAlignment w:val="auto"/>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jc w:val="center"/>
        <w:rPr>
          <w:rFonts w:hint="default"/>
          <w:lang w:val="en-US" w:eastAsia="zh-CN"/>
        </w:rPr>
      </w:pPr>
    </w:p>
    <w:p>
      <w:pPr>
        <w:rPr>
          <w:rFonts w:hint="default"/>
          <w:lang w:val="en-US" w:eastAsia="zh-CN"/>
        </w:rPr>
      </w:pPr>
    </w:p>
    <w:p>
      <w:pPr>
        <w:pStyle w:val="7"/>
        <w:rPr>
          <w:rFonts w:hint="default"/>
          <w:lang w:val="en-US" w:eastAsia="zh-CN"/>
        </w:rPr>
      </w:pPr>
    </w:p>
    <w:p>
      <w:pPr>
        <w:pStyle w:val="8"/>
        <w:rPr>
          <w:rFonts w:hint="default"/>
          <w:lang w:val="en-US" w:eastAsia="zh-CN"/>
        </w:rPr>
      </w:pPr>
    </w:p>
    <w:p>
      <w:pPr>
        <w:rPr>
          <w:rFonts w:hint="default"/>
          <w:lang w:val="en-US" w:eastAsia="zh-CN"/>
        </w:rPr>
      </w:pPr>
    </w:p>
    <w:p>
      <w:pPr>
        <w:overflowPunct w:val="0"/>
        <w:spacing w:line="562" w:lineRule="exact"/>
        <w:ind w:firstLine="640" w:firstLineChars="200"/>
        <w:rPr>
          <w:rFonts w:hint="default" w:ascii="Times New Roman" w:hAnsi="Times New Roman" w:cs="Times New Roman"/>
          <w:color w:val="000000"/>
        </w:rPr>
      </w:pPr>
    </w:p>
    <w:p>
      <w:pPr>
        <w:pBdr>
          <w:top w:val="single" w:color="auto" w:sz="8" w:space="2"/>
        </w:pBdr>
        <w:overflowPunct w:val="0"/>
        <w:ind w:firstLine="280" w:firstLineChars="1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抄送：县</w:t>
      </w:r>
      <w:r>
        <w:rPr>
          <w:rFonts w:hint="eastAsia" w:ascii="Times New Roman" w:hAnsi="Times New Roman" w:cs="Times New Roman"/>
          <w:color w:val="000000"/>
          <w:sz w:val="28"/>
          <w:szCs w:val="28"/>
          <w:lang w:eastAsia="zh-CN"/>
        </w:rPr>
        <w:t>财政局</w:t>
      </w:r>
    </w:p>
    <w:p>
      <w:pPr>
        <w:pBdr>
          <w:top w:val="single" w:color="auto" w:sz="4" w:space="1"/>
          <w:bottom w:val="single" w:color="auto" w:sz="8" w:space="1"/>
        </w:pBdr>
        <w:overflowPunct w:val="0"/>
        <w:ind w:firstLine="280" w:firstLineChars="100"/>
        <w:rPr>
          <w:rFonts w:hint="eastAsia"/>
          <w:lang w:val="en-US" w:eastAsia="zh-CN"/>
        </w:rPr>
      </w:pPr>
      <w:r>
        <w:rPr>
          <w:rFonts w:hint="default" w:ascii="Times New Roman" w:hAnsi="Times New Roman" w:cs="Times New Roman"/>
          <w:color w:val="000000"/>
          <w:sz w:val="28"/>
          <w:szCs w:val="28"/>
        </w:rPr>
        <w:t>巫山县</w:t>
      </w:r>
      <w:r>
        <w:rPr>
          <w:rFonts w:hint="eastAsia" w:ascii="Times New Roman" w:hAnsi="Times New Roman" w:cs="Times New Roman"/>
          <w:color w:val="000000"/>
          <w:sz w:val="28"/>
          <w:szCs w:val="28"/>
          <w:lang w:eastAsia="zh-CN"/>
        </w:rPr>
        <w:t>城市管理局</w:t>
      </w:r>
      <w:r>
        <w:rPr>
          <w:rFonts w:hint="default" w:ascii="Times New Roman" w:hAnsi="Times New Roman" w:cs="Times New Roman"/>
          <w:color w:val="000000"/>
          <w:sz w:val="28"/>
          <w:szCs w:val="28"/>
        </w:rPr>
        <w:t>办公室　　　　　　　　 202</w:t>
      </w:r>
      <w:r>
        <w:rPr>
          <w:rFonts w:hint="eastAsia" w:ascii="Times New Roman" w:hAnsi="Times New Roman" w:cs="Times New Roman"/>
          <w:color w:val="000000"/>
          <w:sz w:val="28"/>
          <w:szCs w:val="28"/>
          <w:lang w:val="en-US" w:eastAsia="zh-CN"/>
        </w:rPr>
        <w:t>2</w:t>
      </w:r>
      <w:r>
        <w:rPr>
          <w:rFonts w:hint="default" w:ascii="Times New Roman" w:hAnsi="Times New Roman" w:cs="Times New Roman"/>
          <w:color w:val="000000"/>
          <w:sz w:val="28"/>
          <w:szCs w:val="28"/>
        </w:rPr>
        <w:t>年1</w:t>
      </w:r>
      <w:r>
        <w:rPr>
          <w:rFonts w:hint="eastAsia" w:ascii="Times New Roman" w:hAnsi="Times New Roman" w:cs="Times New Roman"/>
          <w:color w:val="000000"/>
          <w:sz w:val="28"/>
          <w:szCs w:val="28"/>
          <w:lang w:val="en-US" w:eastAsia="zh-CN"/>
        </w:rPr>
        <w:t>2</w:t>
      </w:r>
      <w:r>
        <w:rPr>
          <w:rFonts w:hint="default" w:ascii="Times New Roman" w:hAnsi="Times New Roman" w:cs="Times New Roman"/>
          <w:color w:val="000000"/>
          <w:sz w:val="28"/>
          <w:szCs w:val="28"/>
        </w:rPr>
        <w:t>月</w:t>
      </w:r>
      <w:r>
        <w:rPr>
          <w:rFonts w:hint="eastAsia" w:ascii="Times New Roman" w:hAnsi="Times New Roman" w:cs="Times New Roman"/>
          <w:color w:val="000000"/>
          <w:sz w:val="28"/>
          <w:szCs w:val="28"/>
          <w:lang w:val="en-US" w:eastAsia="zh-CN"/>
        </w:rPr>
        <w:t>29</w:t>
      </w:r>
      <w:r>
        <w:rPr>
          <w:rFonts w:hint="default" w:ascii="Times New Roman" w:hAnsi="Times New Roman" w:cs="Times New Roman"/>
          <w:color w:val="000000"/>
          <w:sz w:val="28"/>
          <w:szCs w:val="28"/>
        </w:rPr>
        <w:t>日印发</w:t>
      </w:r>
    </w:p>
    <w:sectPr>
      <w:footerReference r:id="rId5" w:type="default"/>
      <w:pgSz w:w="11906" w:h="16838"/>
      <w:pgMar w:top="2098" w:right="1474" w:bottom="1984" w:left="1587" w:header="1361" w:footer="1474" w:gutter="0"/>
      <w:pgNumType w:fmt="numberInDash" w:start="4"/>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方正仿宋_GBK"/>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方正仿宋_GBK"/>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- 4 -</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- 4 -</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MTg5MjA1OWM2Nzc4NjhhOTBhZTZhYTc2NzU0MzEifQ=="/>
  </w:docVars>
  <w:rsids>
    <w:rsidRoot w:val="6F854BB0"/>
    <w:rsid w:val="00E60623"/>
    <w:rsid w:val="04273684"/>
    <w:rsid w:val="06B56F46"/>
    <w:rsid w:val="06DF323B"/>
    <w:rsid w:val="07E204B8"/>
    <w:rsid w:val="086F5B66"/>
    <w:rsid w:val="0959478E"/>
    <w:rsid w:val="0AAD79A1"/>
    <w:rsid w:val="0C104C1F"/>
    <w:rsid w:val="0C793668"/>
    <w:rsid w:val="11943A65"/>
    <w:rsid w:val="11E26397"/>
    <w:rsid w:val="11F224E1"/>
    <w:rsid w:val="12DD34CE"/>
    <w:rsid w:val="13C955CF"/>
    <w:rsid w:val="153656F6"/>
    <w:rsid w:val="17192340"/>
    <w:rsid w:val="19107052"/>
    <w:rsid w:val="1C5F289D"/>
    <w:rsid w:val="1E4C5906"/>
    <w:rsid w:val="22C75F97"/>
    <w:rsid w:val="23794E61"/>
    <w:rsid w:val="26176E7E"/>
    <w:rsid w:val="2D6E2D72"/>
    <w:rsid w:val="2DC855BD"/>
    <w:rsid w:val="2DCC67A0"/>
    <w:rsid w:val="2EE022E6"/>
    <w:rsid w:val="2F741C17"/>
    <w:rsid w:val="30586599"/>
    <w:rsid w:val="30FE7513"/>
    <w:rsid w:val="32355C7A"/>
    <w:rsid w:val="349A46E7"/>
    <w:rsid w:val="34E37029"/>
    <w:rsid w:val="354A0593"/>
    <w:rsid w:val="356D7F01"/>
    <w:rsid w:val="363C7783"/>
    <w:rsid w:val="36F02B92"/>
    <w:rsid w:val="37BA4F29"/>
    <w:rsid w:val="37F23166"/>
    <w:rsid w:val="39131727"/>
    <w:rsid w:val="39C96289"/>
    <w:rsid w:val="39EF3F42"/>
    <w:rsid w:val="3C0435A9"/>
    <w:rsid w:val="3F2E5745"/>
    <w:rsid w:val="40E050C3"/>
    <w:rsid w:val="46456BC9"/>
    <w:rsid w:val="46FD57C4"/>
    <w:rsid w:val="475E07A3"/>
    <w:rsid w:val="47791848"/>
    <w:rsid w:val="491F7C74"/>
    <w:rsid w:val="4A751113"/>
    <w:rsid w:val="4B6454A5"/>
    <w:rsid w:val="4D332A4B"/>
    <w:rsid w:val="4DB34E2F"/>
    <w:rsid w:val="4F6B4D1C"/>
    <w:rsid w:val="4F9667B6"/>
    <w:rsid w:val="500B0F6E"/>
    <w:rsid w:val="504E2F79"/>
    <w:rsid w:val="50D7010C"/>
    <w:rsid w:val="519F4699"/>
    <w:rsid w:val="51E26721"/>
    <w:rsid w:val="51EB4B97"/>
    <w:rsid w:val="534E7727"/>
    <w:rsid w:val="53D86F4D"/>
    <w:rsid w:val="54B66012"/>
    <w:rsid w:val="55652EB2"/>
    <w:rsid w:val="569B693F"/>
    <w:rsid w:val="580B453A"/>
    <w:rsid w:val="5976568E"/>
    <w:rsid w:val="59B85CA7"/>
    <w:rsid w:val="59DD385E"/>
    <w:rsid w:val="5AC14B0A"/>
    <w:rsid w:val="5AFD722B"/>
    <w:rsid w:val="5B764EF6"/>
    <w:rsid w:val="5C0B6AFA"/>
    <w:rsid w:val="5D242091"/>
    <w:rsid w:val="5F4104EC"/>
    <w:rsid w:val="60557FD2"/>
    <w:rsid w:val="69326F5A"/>
    <w:rsid w:val="6AEC21E4"/>
    <w:rsid w:val="6C9B3405"/>
    <w:rsid w:val="6E6D7CA5"/>
    <w:rsid w:val="6F854BB0"/>
    <w:rsid w:val="6FD47DDA"/>
    <w:rsid w:val="715455D6"/>
    <w:rsid w:val="71B30744"/>
    <w:rsid w:val="71B65FDD"/>
    <w:rsid w:val="71D02456"/>
    <w:rsid w:val="74CD11C1"/>
    <w:rsid w:val="756A05E7"/>
    <w:rsid w:val="76D80FD2"/>
    <w:rsid w:val="78F141E6"/>
    <w:rsid w:val="795250D1"/>
    <w:rsid w:val="798B075D"/>
    <w:rsid w:val="79A436FA"/>
    <w:rsid w:val="79E1110A"/>
    <w:rsid w:val="7A3031E0"/>
    <w:rsid w:val="7A601C69"/>
    <w:rsid w:val="7C277414"/>
    <w:rsid w:val="7CEB034C"/>
    <w:rsid w:val="7E420EF9"/>
    <w:rsid w:val="7E747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2"/>
      <w:lang w:val="en-US" w:eastAsia="zh-CN" w:bidi="ar-SA"/>
    </w:rPr>
  </w:style>
  <w:style w:type="paragraph" w:styleId="3">
    <w:name w:val="heading 1"/>
    <w:basedOn w:val="1"/>
    <w:next w:val="1"/>
    <w:qFormat/>
    <w:uiPriority w:val="0"/>
    <w:pPr>
      <w:keepNext/>
      <w:keepLines/>
      <w:spacing w:before="340" w:after="330" w:line="578" w:lineRule="auto"/>
      <w:jc w:val="both"/>
      <w:outlineLvl w:val="0"/>
    </w:pPr>
    <w:rPr>
      <w:rFonts w:ascii="Calibri" w:hAnsi="Calibri" w:cs="Times New Roman"/>
      <w:b/>
      <w:bCs/>
      <w:color w:val="auto"/>
      <w:kern w:val="44"/>
      <w:sz w:val="44"/>
      <w:szCs w:val="44"/>
      <w:lang w:val="en-US"/>
    </w:rPr>
  </w:style>
  <w:style w:type="paragraph" w:styleId="2">
    <w:name w:val="heading 4"/>
    <w:basedOn w:val="1"/>
    <w:next w:val="1"/>
    <w:qFormat/>
    <w:uiPriority w:val="99"/>
    <w:pPr>
      <w:outlineLvl w:val="3"/>
    </w:p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qFormat/>
    <w:uiPriority w:val="99"/>
    <w:pPr>
      <w:spacing w:after="120"/>
      <w:ind w:left="420" w:leftChars="200"/>
    </w:pPr>
    <w:rPr>
      <w:rFonts w:ascii="Times New Roman" w:hAnsi="Times New Roman"/>
      <w:kern w:val="0"/>
      <w:sz w:val="20"/>
      <w:szCs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8"/>
    <w:unhideWhenUsed/>
    <w:qFormat/>
    <w:uiPriority w:val="0"/>
    <w:pPr>
      <w:spacing w:line="360" w:lineRule="auto"/>
      <w:ind w:firstLine="420" w:firstLineChars="200"/>
    </w:pPr>
    <w:rPr>
      <w:rFonts w:ascii="宋体"/>
      <w:kern w:val="0"/>
      <w:sz w:val="26"/>
      <w:szCs w:val="26"/>
    </w:rPr>
  </w:style>
  <w:style w:type="paragraph" w:customStyle="1" w:styleId="8">
    <w:name w:val="样式 正文首行缩进 2 + 首行缩进:  2 字符"/>
    <w:basedOn w:val="1"/>
    <w:next w:val="1"/>
    <w:qFormat/>
    <w:uiPriority w:val="0"/>
    <w:pPr>
      <w:ind w:firstLine="480"/>
    </w:pPr>
    <w:rPr>
      <w:rFonts w:cs="宋体"/>
      <w:sz w:val="24"/>
      <w:szCs w:val="20"/>
    </w:rPr>
  </w:style>
  <w:style w:type="character" w:styleId="11">
    <w:name w:val="page number"/>
    <w:basedOn w:val="10"/>
    <w:qFormat/>
    <w:uiPriority w:val="0"/>
  </w:style>
  <w:style w:type="character" w:customStyle="1" w:styleId="12">
    <w:name w:val="font11"/>
    <w:basedOn w:val="10"/>
    <w:qFormat/>
    <w:uiPriority w:val="0"/>
    <w:rPr>
      <w:rFonts w:ascii="方正仿宋_GBK" w:hAnsi="方正仿宋_GBK" w:eastAsia="方正仿宋_GBK" w:cs="方正仿宋_GBK"/>
      <w:color w:val="000000"/>
      <w:sz w:val="22"/>
      <w:szCs w:val="22"/>
      <w:u w:val="none"/>
    </w:rPr>
  </w:style>
  <w:style w:type="character" w:customStyle="1" w:styleId="13">
    <w:name w:val="font21"/>
    <w:basedOn w:val="10"/>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902</Words>
  <Characters>972</Characters>
  <Lines>0</Lines>
  <Paragraphs>0</Paragraphs>
  <TotalTime>7</TotalTime>
  <ScaleCrop>false</ScaleCrop>
  <LinksUpToDate>false</LinksUpToDate>
  <CharactersWithSpaces>1063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2022-01-24T07:55:00Z</dcterms:created>
  <dc:creator>Administrator</dc:creator>
  <cp:lastModifiedBy>Administrator</cp:lastModifiedBy>
  <cp:lastPrinted>2023-01-17T02:55:00Z</cp:lastPrinted>
  <dcterms:modified xsi:type="dcterms:W3CDTF">2023-12-01T08:10:15Z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3D4A02B54B7142B2A8D9CA9B21A8E089</vt:lpwstr>
  </property>
</Properties>
</file>