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6DF49">
      <w:pPr>
        <w:pStyle w:val="5"/>
        <w:tabs>
          <w:tab w:val="right" w:leader="dot" w:pos="8302"/>
        </w:tabs>
        <w:spacing w:line="560" w:lineRule="exact"/>
        <w:jc w:val="center"/>
        <w:rPr>
          <w:rFonts w:ascii="方正小标宋简体" w:hAnsi="黑体" w:eastAsia="方正小标宋简体" w:cs="宋体"/>
          <w:sz w:val="44"/>
          <w:szCs w:val="44"/>
        </w:rPr>
      </w:pPr>
    </w:p>
    <w:p w14:paraId="0737B5E8"/>
    <w:p w14:paraId="5F56064A"/>
    <w:p w14:paraId="21548614">
      <w:pPr>
        <w:rPr>
          <w:rFonts w:hint="eastAsia"/>
        </w:rPr>
      </w:pPr>
    </w:p>
    <w:p w14:paraId="5C41B987">
      <w:pPr>
        <w:rPr>
          <w:rFonts w:hint="eastAsia"/>
        </w:rPr>
      </w:pPr>
    </w:p>
    <w:p w14:paraId="39BB1AAA">
      <w:pPr>
        <w:pStyle w:val="5"/>
        <w:tabs>
          <w:tab w:val="right" w:leader="dot" w:pos="8302"/>
        </w:tabs>
        <w:spacing w:line="560" w:lineRule="exact"/>
        <w:ind w:firstLine="600" w:firstLineChars="200"/>
        <w:jc w:val="center"/>
        <w:rPr>
          <w:rFonts w:ascii="方正小标宋简体" w:hAnsi="黑体" w:eastAsia="方正小标宋简体" w:cs="宋体"/>
          <w:sz w:val="30"/>
          <w:szCs w:val="30"/>
        </w:rPr>
      </w:pPr>
      <w:r>
        <w:rPr>
          <w:rFonts w:hint="eastAsia" w:ascii="方正小标宋简体" w:hAnsi="黑体" w:eastAsia="方正小标宋简体" w:cs="宋体"/>
          <w:sz w:val="30"/>
          <w:szCs w:val="30"/>
        </w:rPr>
        <w:t>2023年巫山县老少边及欠发达地区</w:t>
      </w:r>
    </w:p>
    <w:p w14:paraId="5B6B8B00">
      <w:pPr>
        <w:pStyle w:val="5"/>
        <w:tabs>
          <w:tab w:val="right" w:leader="dot" w:pos="8302"/>
        </w:tabs>
        <w:spacing w:line="560" w:lineRule="exact"/>
        <w:ind w:firstLine="600" w:firstLineChars="200"/>
        <w:jc w:val="center"/>
        <w:rPr>
          <w:rFonts w:ascii="方正小标宋简体" w:hAnsi="黑体" w:eastAsia="方正小标宋简体" w:cs="宋体"/>
          <w:sz w:val="30"/>
          <w:szCs w:val="30"/>
        </w:rPr>
      </w:pPr>
      <w:r>
        <w:rPr>
          <w:rFonts w:hint="eastAsia" w:ascii="方正小标宋简体" w:hAnsi="黑体" w:eastAsia="方正小标宋简体" w:cs="宋体"/>
          <w:sz w:val="30"/>
          <w:szCs w:val="30"/>
        </w:rPr>
        <w:t>县级应急广播体系建设项目</w:t>
      </w:r>
    </w:p>
    <w:p w14:paraId="351C1119">
      <w:pPr>
        <w:pStyle w:val="5"/>
        <w:tabs>
          <w:tab w:val="right" w:leader="dot" w:pos="8302"/>
        </w:tabs>
        <w:spacing w:line="560" w:lineRule="exact"/>
        <w:ind w:firstLine="600" w:firstLineChars="200"/>
        <w:jc w:val="center"/>
        <w:rPr>
          <w:rFonts w:ascii="Calibri" w:hAnsi="Calibri"/>
          <w:sz w:val="30"/>
          <w:szCs w:val="30"/>
        </w:rPr>
      </w:pPr>
      <w:r>
        <w:rPr>
          <w:rFonts w:hint="eastAsia" w:ascii="方正小标宋简体" w:hAnsi="黑体" w:eastAsia="方正小标宋简体" w:cs="宋体"/>
          <w:sz w:val="30"/>
          <w:szCs w:val="30"/>
        </w:rPr>
        <w:t>绩效评价报告</w:t>
      </w:r>
    </w:p>
    <w:p w14:paraId="178D143A">
      <w:pPr>
        <w:pStyle w:val="5"/>
        <w:tabs>
          <w:tab w:val="right" w:leader="dot" w:pos="8302"/>
        </w:tabs>
        <w:spacing w:line="560" w:lineRule="exact"/>
        <w:ind w:firstLine="560" w:firstLineChars="200"/>
        <w:jc w:val="center"/>
        <w:rPr>
          <w:rFonts w:hint="eastAsia" w:ascii="方正小标宋简体" w:hAnsi="黑体" w:eastAsia="方正小标宋简体" w:cs="宋体"/>
          <w:sz w:val="28"/>
          <w:szCs w:val="28"/>
        </w:rPr>
      </w:pPr>
      <w:r>
        <w:rPr>
          <w:rFonts w:hint="eastAsia" w:ascii="方正小标宋简体" w:hAnsi="黑体" w:eastAsia="方正小标宋简体" w:cs="宋体"/>
          <w:sz w:val="28"/>
          <w:szCs w:val="28"/>
        </w:rPr>
        <w:t>企望专审字【2024】第259号</w:t>
      </w:r>
    </w:p>
    <w:p w14:paraId="1A4DAA46">
      <w:pPr>
        <w:pStyle w:val="5"/>
        <w:tabs>
          <w:tab w:val="right" w:leader="dot" w:pos="8302"/>
        </w:tabs>
        <w:spacing w:line="560" w:lineRule="exact"/>
        <w:jc w:val="center"/>
        <w:rPr>
          <w:rFonts w:hint="eastAsia" w:ascii="方正小标宋简体" w:hAnsi="黑体" w:eastAsia="方正小标宋简体" w:cs="宋体"/>
          <w:sz w:val="44"/>
          <w:szCs w:val="44"/>
        </w:rPr>
      </w:pPr>
    </w:p>
    <w:p w14:paraId="3089F18F">
      <w:pPr>
        <w:pStyle w:val="5"/>
        <w:tabs>
          <w:tab w:val="right" w:leader="dot" w:pos="8302"/>
        </w:tabs>
        <w:spacing w:line="560" w:lineRule="exact"/>
        <w:jc w:val="center"/>
        <w:rPr>
          <w:rFonts w:hint="eastAsia" w:ascii="方正小标宋简体" w:hAnsi="黑体" w:eastAsia="方正小标宋简体" w:cs="宋体"/>
          <w:sz w:val="44"/>
          <w:szCs w:val="44"/>
        </w:rPr>
      </w:pPr>
    </w:p>
    <w:p w14:paraId="3704C248">
      <w:pPr>
        <w:pStyle w:val="5"/>
        <w:tabs>
          <w:tab w:val="right" w:leader="dot" w:pos="8302"/>
        </w:tabs>
        <w:spacing w:line="560" w:lineRule="exact"/>
        <w:jc w:val="center"/>
        <w:rPr>
          <w:rFonts w:hint="eastAsia" w:ascii="方正小标宋简体" w:hAnsi="黑体" w:eastAsia="方正小标宋简体" w:cs="宋体"/>
          <w:sz w:val="44"/>
          <w:szCs w:val="44"/>
        </w:rPr>
      </w:pPr>
    </w:p>
    <w:p w14:paraId="4C9E1AFF">
      <w:pPr>
        <w:pStyle w:val="5"/>
        <w:tabs>
          <w:tab w:val="right" w:leader="dot" w:pos="8302"/>
        </w:tabs>
        <w:spacing w:line="560" w:lineRule="exact"/>
        <w:jc w:val="center"/>
        <w:rPr>
          <w:rFonts w:hint="eastAsia" w:ascii="方正小标宋简体" w:hAnsi="黑体" w:eastAsia="方正小标宋简体" w:cs="宋体"/>
          <w:sz w:val="44"/>
          <w:szCs w:val="44"/>
        </w:rPr>
      </w:pPr>
    </w:p>
    <w:p w14:paraId="687E967B">
      <w:pPr>
        <w:pStyle w:val="5"/>
        <w:tabs>
          <w:tab w:val="right" w:leader="dot" w:pos="8302"/>
        </w:tabs>
        <w:spacing w:line="560" w:lineRule="exact"/>
        <w:jc w:val="center"/>
        <w:rPr>
          <w:rFonts w:hint="eastAsia" w:ascii="方正小标宋简体" w:hAnsi="黑体" w:eastAsia="方正小标宋简体" w:cs="宋体"/>
          <w:sz w:val="44"/>
          <w:szCs w:val="44"/>
        </w:rPr>
      </w:pPr>
    </w:p>
    <w:p w14:paraId="5B5FD176">
      <w:pPr>
        <w:pStyle w:val="5"/>
        <w:tabs>
          <w:tab w:val="right" w:leader="dot" w:pos="8302"/>
        </w:tabs>
        <w:spacing w:line="560" w:lineRule="exact"/>
        <w:jc w:val="center"/>
        <w:rPr>
          <w:rFonts w:hint="eastAsia" w:ascii="方正小标宋简体" w:hAnsi="黑体" w:eastAsia="方正小标宋简体" w:cs="宋体"/>
          <w:sz w:val="44"/>
          <w:szCs w:val="44"/>
        </w:rPr>
      </w:pPr>
    </w:p>
    <w:p w14:paraId="05F38179">
      <w:pPr>
        <w:pStyle w:val="5"/>
        <w:tabs>
          <w:tab w:val="right" w:leader="dot" w:pos="8302"/>
        </w:tabs>
        <w:spacing w:line="560" w:lineRule="exact"/>
        <w:jc w:val="center"/>
        <w:rPr>
          <w:rFonts w:hint="eastAsia" w:ascii="方正小标宋简体" w:hAnsi="黑体" w:eastAsia="方正小标宋简体" w:cs="宋体"/>
          <w:sz w:val="44"/>
          <w:szCs w:val="44"/>
        </w:rPr>
      </w:pPr>
    </w:p>
    <w:p w14:paraId="69BABE1F"/>
    <w:p w14:paraId="3C1C89D2">
      <w:pPr>
        <w:pStyle w:val="5"/>
        <w:tabs>
          <w:tab w:val="right" w:leader="dot" w:pos="8302"/>
        </w:tabs>
        <w:spacing w:line="560" w:lineRule="exact"/>
        <w:jc w:val="center"/>
        <w:rPr>
          <w:rFonts w:hint="eastAsia" w:ascii="方正小标宋简体" w:hAnsi="黑体" w:eastAsia="方正小标宋简体" w:cs="宋体"/>
          <w:sz w:val="44"/>
          <w:szCs w:val="44"/>
        </w:rPr>
      </w:pPr>
    </w:p>
    <w:p w14:paraId="2DE01FF9">
      <w:pPr>
        <w:pStyle w:val="5"/>
        <w:tabs>
          <w:tab w:val="right" w:leader="dot" w:pos="8302"/>
        </w:tabs>
        <w:spacing w:line="560" w:lineRule="exact"/>
        <w:jc w:val="center"/>
        <w:rPr>
          <w:rFonts w:hint="eastAsia" w:ascii="方正小标宋简体" w:hAnsi="黑体" w:eastAsia="方正小标宋简体" w:cs="宋体"/>
          <w:sz w:val="44"/>
          <w:szCs w:val="44"/>
        </w:rPr>
      </w:pPr>
    </w:p>
    <w:p w14:paraId="0A374F67">
      <w:pPr>
        <w:pStyle w:val="5"/>
        <w:tabs>
          <w:tab w:val="right" w:leader="dot" w:pos="8302"/>
        </w:tabs>
        <w:spacing w:line="560" w:lineRule="exact"/>
        <w:jc w:val="center"/>
        <w:rPr>
          <w:rFonts w:hint="eastAsia" w:ascii="方正小标宋简体" w:hAnsi="黑体" w:eastAsia="方正小标宋简体" w:cs="宋体"/>
          <w:sz w:val="44"/>
          <w:szCs w:val="44"/>
        </w:rPr>
      </w:pPr>
    </w:p>
    <w:p w14:paraId="5858BD2E">
      <w:pPr>
        <w:pStyle w:val="5"/>
        <w:tabs>
          <w:tab w:val="right" w:leader="dot" w:pos="8302"/>
        </w:tabs>
        <w:spacing w:line="560" w:lineRule="exact"/>
        <w:jc w:val="center"/>
        <w:rPr>
          <w:rFonts w:hint="eastAsia" w:ascii="方正小标宋简体" w:hAnsi="黑体" w:eastAsia="方正小标宋简体" w:cs="宋体"/>
          <w:sz w:val="44"/>
          <w:szCs w:val="44"/>
        </w:rPr>
      </w:pPr>
    </w:p>
    <w:p w14:paraId="45388C91">
      <w:pPr>
        <w:pStyle w:val="5"/>
        <w:tabs>
          <w:tab w:val="right" w:leader="dot" w:pos="8302"/>
        </w:tabs>
        <w:spacing w:line="560" w:lineRule="exact"/>
        <w:rPr>
          <w:rFonts w:hint="eastAsia" w:ascii="方正小标宋简体" w:hAnsi="黑体" w:eastAsia="方正小标宋简体" w:cs="宋体"/>
          <w:sz w:val="44"/>
          <w:szCs w:val="44"/>
        </w:rPr>
      </w:pPr>
      <w:bookmarkStart w:id="0" w:name="_Toc18609"/>
      <w:r>
        <w:rPr>
          <w:rFonts w:hint="eastAsia" w:ascii="方正小标宋简体" w:hAnsi="黑体" w:eastAsia="方正小标宋简体" w:cs="宋体"/>
          <w:sz w:val="44"/>
          <w:szCs w:val="44"/>
        </w:rPr>
        <w:t>委托单位：巫山县财政局</w:t>
      </w:r>
      <w:bookmarkEnd w:id="0"/>
    </w:p>
    <w:p w14:paraId="257560EF">
      <w:pPr>
        <w:pStyle w:val="5"/>
        <w:tabs>
          <w:tab w:val="right" w:leader="dot" w:pos="8302"/>
        </w:tabs>
        <w:spacing w:line="560" w:lineRule="exact"/>
        <w:jc w:val="center"/>
        <w:rPr>
          <w:rFonts w:hint="eastAsia" w:ascii="方正小标宋简体" w:hAnsi="黑体" w:eastAsia="方正小标宋简体" w:cs="宋体"/>
          <w:sz w:val="44"/>
          <w:szCs w:val="44"/>
        </w:rPr>
      </w:pPr>
      <w:bookmarkStart w:id="1" w:name="_Toc3238"/>
      <w:r>
        <w:rPr>
          <w:rFonts w:hint="eastAsia" w:ascii="方正小标宋简体" w:hAnsi="黑体" w:eastAsia="方正小标宋简体" w:cs="宋体"/>
          <w:sz w:val="44"/>
          <w:szCs w:val="44"/>
        </w:rPr>
        <w:t>评价机构：企望会计师事务所（普通合伙）</w:t>
      </w:r>
      <w:bookmarkEnd w:id="1"/>
    </w:p>
    <w:p w14:paraId="23146487">
      <w:pPr>
        <w:pStyle w:val="5"/>
        <w:tabs>
          <w:tab w:val="right" w:leader="dot" w:pos="8302"/>
        </w:tabs>
        <w:spacing w:line="560" w:lineRule="exact"/>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报告时间：2024年12月19日</w:t>
      </w:r>
    </w:p>
    <w:p w14:paraId="102A6402">
      <w:pPr>
        <w:pStyle w:val="5"/>
        <w:tabs>
          <w:tab w:val="right" w:leader="dot" w:pos="8302"/>
        </w:tabs>
        <w:spacing w:line="560" w:lineRule="exact"/>
        <w:jc w:val="center"/>
        <w:rPr>
          <w:rFonts w:hint="eastAsia" w:ascii="方正小标宋简体" w:hAnsi="黑体" w:eastAsia="方正小标宋简体" w:cs="宋体"/>
          <w:sz w:val="44"/>
          <w:szCs w:val="44"/>
        </w:rPr>
      </w:pPr>
      <w:bookmarkStart w:id="2" w:name="_Toc12042"/>
      <w:r>
        <w:rPr>
          <w:rFonts w:hint="eastAsia" w:ascii="方正小标宋简体" w:hAnsi="黑体" w:eastAsia="方正小标宋简体" w:cs="宋体"/>
          <w:sz w:val="44"/>
          <w:szCs w:val="44"/>
        </w:rPr>
        <w:t>摘   要</w:t>
      </w:r>
      <w:bookmarkEnd w:id="2"/>
    </w:p>
    <w:p w14:paraId="454B49B6">
      <w:pPr>
        <w:pStyle w:val="5"/>
        <w:tabs>
          <w:tab w:val="right" w:leader="dot" w:pos="8302"/>
        </w:tabs>
        <w:spacing w:line="560" w:lineRule="exact"/>
        <w:jc w:val="center"/>
        <w:rPr>
          <w:rFonts w:hint="eastAsia" w:ascii="方正小标宋简体" w:hAnsi="黑体" w:eastAsia="方正小标宋简体" w:cs="宋体"/>
          <w:sz w:val="44"/>
          <w:szCs w:val="44"/>
        </w:rPr>
      </w:pPr>
    </w:p>
    <w:p w14:paraId="7457B2AA">
      <w:pPr>
        <w:pStyle w:val="5"/>
        <w:tabs>
          <w:tab w:val="right" w:leader="dot" w:pos="8302"/>
        </w:tabs>
        <w:spacing w:line="560" w:lineRule="exact"/>
        <w:rPr>
          <w:rFonts w:ascii="仿宋_GB2312" w:hAnsi="Calibri" w:eastAsia="仿宋_GB2312"/>
          <w:sz w:val="32"/>
          <w:szCs w:val="32"/>
        </w:rPr>
      </w:pPr>
      <w:r>
        <w:rPr>
          <w:rFonts w:hint="eastAsia" w:ascii="仿宋_GB2312" w:hAnsi="Calibri" w:eastAsia="仿宋_GB2312"/>
          <w:sz w:val="32"/>
          <w:szCs w:val="32"/>
        </w:rPr>
        <w:t xml:space="preserve">   受巫山县财政局委托，企望会计师事务所（普通合伙）于2024年8月19日至2024年8月30日对2023年巫山县老少边及欠发达地区县级应急广播体系建设项目开展了绩效评价，评价情况如下：</w:t>
      </w:r>
    </w:p>
    <w:p w14:paraId="636E2502">
      <w:pPr>
        <w:pStyle w:val="5"/>
        <w:numPr>
          <w:ilvl w:val="0"/>
          <w:numId w:val="1"/>
        </w:numPr>
        <w:tabs>
          <w:tab w:val="right" w:leader="dot" w:pos="8302"/>
        </w:tabs>
        <w:spacing w:line="560" w:lineRule="exact"/>
        <w:ind w:firstLine="321" w:firstLineChars="100"/>
        <w:rPr>
          <w:rFonts w:ascii="仿宋_GB2312" w:hAnsi="Calibri" w:eastAsia="仿宋_GB2312"/>
          <w:b/>
          <w:bCs/>
          <w:sz w:val="32"/>
          <w:szCs w:val="32"/>
        </w:rPr>
      </w:pPr>
      <w:bookmarkStart w:id="3" w:name="_Toc16064"/>
      <w:r>
        <w:rPr>
          <w:rFonts w:hint="eastAsia" w:ascii="仿宋_GB2312" w:hAnsi="Calibri" w:eastAsia="仿宋_GB2312"/>
          <w:b/>
          <w:bCs/>
          <w:sz w:val="32"/>
          <w:szCs w:val="32"/>
        </w:rPr>
        <w:t>基本情况</w:t>
      </w:r>
      <w:bookmarkEnd w:id="3"/>
    </w:p>
    <w:p w14:paraId="138EA44E">
      <w:pPr>
        <w:rPr>
          <w:rFonts w:ascii="仿宋_GB2312" w:hAnsi="Calibri"/>
          <w:sz w:val="32"/>
          <w:szCs w:val="32"/>
        </w:rPr>
      </w:pPr>
      <w:r>
        <w:rPr>
          <w:rFonts w:hint="eastAsia"/>
        </w:rPr>
        <w:t xml:space="preserve">   </w:t>
      </w:r>
      <w:r>
        <w:rPr>
          <w:rFonts w:hint="eastAsia" w:ascii="仿宋_GB2312" w:hAnsi="Calibri"/>
          <w:sz w:val="32"/>
          <w:szCs w:val="32"/>
        </w:rPr>
        <w:t>对2023年巫山县老少边及欠发达地区县级应急广播体系建设项目，从“投入、过程、产出、效果”四个角度评价专项资金的使用、管理情况。</w:t>
      </w:r>
    </w:p>
    <w:p w14:paraId="6242115C">
      <w:pPr>
        <w:pStyle w:val="5"/>
        <w:numPr>
          <w:ilvl w:val="0"/>
          <w:numId w:val="1"/>
        </w:numPr>
        <w:tabs>
          <w:tab w:val="right" w:leader="dot" w:pos="8302"/>
        </w:tabs>
        <w:spacing w:line="560" w:lineRule="exact"/>
        <w:ind w:firstLine="321" w:firstLineChars="100"/>
        <w:rPr>
          <w:rFonts w:eastAsia="仿宋_GB2312"/>
          <w:b/>
          <w:bCs/>
          <w:sz w:val="30"/>
        </w:rPr>
      </w:pPr>
      <w:bookmarkStart w:id="4" w:name="_Toc9704"/>
      <w:r>
        <w:rPr>
          <w:rFonts w:hint="eastAsia" w:ascii="仿宋_GB2312" w:hAnsi="Calibri" w:eastAsia="仿宋_GB2312"/>
          <w:b/>
          <w:bCs/>
          <w:sz w:val="32"/>
          <w:szCs w:val="32"/>
        </w:rPr>
        <w:t>绩效评价结论</w:t>
      </w:r>
      <w:bookmarkEnd w:id="4"/>
    </w:p>
    <w:p w14:paraId="1BA0EC23">
      <w:pPr>
        <w:pStyle w:val="5"/>
        <w:tabs>
          <w:tab w:val="right" w:leader="dot" w:pos="8302"/>
        </w:tabs>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绩效评价组人员通过收集资料、实地调研、现场访谈和调查问卷等方式，对获得的数据与资料进行深入分析，形成了该项目的绩效评价报告。最终绩效评价得分及结论如下（具体指标得分情况详见附件一）：</w:t>
      </w:r>
    </w:p>
    <w:p w14:paraId="078FBBE8">
      <w:pPr>
        <w:pStyle w:val="5"/>
        <w:tabs>
          <w:tab w:val="right" w:leader="dot" w:pos="8302"/>
        </w:tabs>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经评定，该项目绩效评价得分：79.3分，绩效评价结论等级：中。</w:t>
      </w:r>
    </w:p>
    <w:p w14:paraId="302867CF">
      <w:pPr>
        <w:pStyle w:val="5"/>
        <w:numPr>
          <w:ilvl w:val="0"/>
          <w:numId w:val="1"/>
        </w:numPr>
        <w:tabs>
          <w:tab w:val="right" w:leader="dot" w:pos="8302"/>
        </w:tabs>
        <w:spacing w:line="560" w:lineRule="exact"/>
        <w:ind w:firstLine="321" w:firstLineChars="100"/>
        <w:rPr>
          <w:rFonts w:ascii="仿宋_GB2312" w:hAnsi="Calibri" w:eastAsia="仿宋_GB2312"/>
          <w:sz w:val="32"/>
          <w:szCs w:val="32"/>
        </w:rPr>
      </w:pPr>
      <w:bookmarkStart w:id="5" w:name="_Toc31939"/>
      <w:r>
        <w:rPr>
          <w:rFonts w:hint="eastAsia" w:ascii="仿宋_GB2312" w:hAnsi="Calibri" w:eastAsia="仿宋_GB2312"/>
          <w:b/>
          <w:bCs/>
          <w:sz w:val="32"/>
          <w:szCs w:val="32"/>
        </w:rPr>
        <w:t>存在问题</w:t>
      </w:r>
      <w:bookmarkEnd w:id="5"/>
    </w:p>
    <w:p w14:paraId="19233057">
      <w:pPr>
        <w:ind w:firstLine="640" w:firstLineChars="200"/>
        <w:rPr>
          <w:rFonts w:ascii="仿宋_GB2312" w:hAnsi="Calibri"/>
          <w:sz w:val="32"/>
          <w:szCs w:val="32"/>
        </w:rPr>
      </w:pPr>
      <w:r>
        <w:rPr>
          <w:rFonts w:hint="eastAsia" w:ascii="仿宋_GB2312" w:hAnsi="Calibri"/>
          <w:sz w:val="32"/>
          <w:szCs w:val="32"/>
        </w:rPr>
        <w:t>绩效管理基础工作较薄弱。被评价单位针对该项目未制定相应的绩效目标，未制定绩效指标，未开展相关绩效管理工作。</w:t>
      </w:r>
    </w:p>
    <w:p w14:paraId="76023FA9">
      <w:pPr>
        <w:pStyle w:val="5"/>
        <w:numPr>
          <w:ilvl w:val="0"/>
          <w:numId w:val="1"/>
        </w:numPr>
        <w:tabs>
          <w:tab w:val="right" w:leader="dot" w:pos="8302"/>
        </w:tabs>
        <w:spacing w:line="560" w:lineRule="exact"/>
        <w:ind w:firstLine="321" w:firstLineChars="100"/>
        <w:rPr>
          <w:rFonts w:ascii="仿宋_GB2312" w:hAnsi="Calibri" w:eastAsia="仿宋_GB2312"/>
          <w:b/>
          <w:bCs/>
          <w:sz w:val="32"/>
          <w:szCs w:val="32"/>
        </w:rPr>
      </w:pPr>
      <w:bookmarkStart w:id="6" w:name="_Toc9646"/>
      <w:r>
        <w:rPr>
          <w:rFonts w:hint="eastAsia" w:ascii="仿宋_GB2312" w:hAnsi="Calibri" w:eastAsia="仿宋_GB2312"/>
          <w:b/>
          <w:bCs/>
          <w:sz w:val="32"/>
          <w:szCs w:val="32"/>
        </w:rPr>
        <w:t>相关建议</w:t>
      </w:r>
      <w:bookmarkEnd w:id="6"/>
    </w:p>
    <w:p w14:paraId="4F51303A">
      <w:pPr>
        <w:ind w:firstLine="640" w:firstLineChars="200"/>
        <w:rPr>
          <w:rFonts w:ascii="仿宋_GB2312" w:hAnsi="Calibri"/>
          <w:b/>
          <w:bCs/>
          <w:sz w:val="32"/>
          <w:szCs w:val="32"/>
        </w:rPr>
      </w:pPr>
      <w:r>
        <w:rPr>
          <w:rFonts w:hint="eastAsia" w:ascii="仿宋_GB2312" w:hAnsi="Calibri"/>
          <w:sz w:val="32"/>
          <w:szCs w:val="32"/>
        </w:rPr>
        <w:t>加强制度建设，强化绩效目标管理责任意识。要研究制定绩效目标管理规章制度，通过加强对预算绩效目标编制质量的刚性约束，不断规范编制行为，强化预算部门的绩效管理主体责任，增强自我约束意识和责任意识，改变“重分配、轻管理；重支出、轻绩效”的思想</w:t>
      </w:r>
      <w:r>
        <w:rPr>
          <w:rFonts w:hint="eastAsia" w:ascii="仿宋_GB2312"/>
          <w:bCs/>
          <w:sz w:val="32"/>
          <w:szCs w:val="32"/>
        </w:rPr>
        <w:t>。</w:t>
      </w:r>
    </w:p>
    <w:p w14:paraId="78B40865">
      <w:pPr>
        <w:pStyle w:val="5"/>
        <w:numPr>
          <w:ilvl w:val="0"/>
          <w:numId w:val="1"/>
        </w:numPr>
        <w:tabs>
          <w:tab w:val="right" w:leader="dot" w:pos="8302"/>
        </w:tabs>
        <w:spacing w:line="560" w:lineRule="exact"/>
        <w:ind w:firstLine="321" w:firstLineChars="100"/>
        <w:rPr>
          <w:rFonts w:ascii="仿宋_GB2312" w:hAnsi="Calibri" w:eastAsia="仿宋_GB2312"/>
          <w:b/>
          <w:bCs/>
          <w:sz w:val="32"/>
          <w:szCs w:val="32"/>
        </w:rPr>
      </w:pPr>
      <w:bookmarkStart w:id="7" w:name="_Toc27437"/>
      <w:r>
        <w:rPr>
          <w:rFonts w:hint="eastAsia" w:ascii="仿宋_GB2312" w:hAnsi="Calibri" w:eastAsia="仿宋_GB2312"/>
          <w:b/>
          <w:bCs/>
          <w:sz w:val="32"/>
          <w:szCs w:val="32"/>
        </w:rPr>
        <w:t>绩效评价结果应用建议</w:t>
      </w:r>
      <w:bookmarkEnd w:id="7"/>
    </w:p>
    <w:p w14:paraId="2DB2F70A">
      <w:pPr>
        <w:ind w:firstLine="640" w:firstLineChars="200"/>
        <w:rPr>
          <w:rFonts w:ascii="方正小标宋简体" w:hAnsi="Calibri" w:eastAsia="方正小标宋简体"/>
          <w:sz w:val="36"/>
          <w:szCs w:val="36"/>
        </w:rPr>
      </w:pPr>
      <w:r>
        <w:rPr>
          <w:rFonts w:hint="eastAsia" w:ascii="仿宋_GB2312" w:hAnsi="Calibri"/>
          <w:sz w:val="32"/>
          <w:szCs w:val="32"/>
        </w:rPr>
        <w:t>绩效评价结果应用，既是开展绩效评价工作的基本前提，又是加强财政支出管理、增强资金绩效理念、合理配置公共资源、优化财政支出结构、强化资金管理水平、提高资金使用效益的重要手段。建议相关单位认真对绩效评价结果进行总结分析，将其作为本部门预算安排、完善政策、改进管理的参考。同时，相关单位要针对发现的问题落实有关政策措施，聚力抓好重点问题整改，坚持举一反三、标本兼治，推动部门项目建设更加规范化运行。</w:t>
      </w:r>
    </w:p>
    <w:p w14:paraId="45BC0749">
      <w:pPr>
        <w:ind w:firstLine="2520" w:firstLineChars="700"/>
        <w:rPr>
          <w:rFonts w:ascii="方正小标宋简体" w:hAnsi="Calibri" w:eastAsia="方正小标宋简体"/>
          <w:sz w:val="36"/>
          <w:szCs w:val="36"/>
        </w:rPr>
      </w:pPr>
      <w:r>
        <w:rPr>
          <w:rFonts w:hint="eastAsia" w:ascii="方正小标宋简体" w:hAnsi="Calibri" w:eastAsia="方正小标宋简体"/>
          <w:sz w:val="36"/>
          <w:szCs w:val="36"/>
        </w:rPr>
        <w:t>绩效评价工作组成员</w:t>
      </w:r>
    </w:p>
    <w:p w14:paraId="59704E64">
      <w:pPr>
        <w:jc w:val="center"/>
        <w:rPr>
          <w:rFonts w:ascii="Calibri" w:hAnsi="Calibri" w:eastAsia="宋体"/>
          <w:sz w:val="21"/>
          <w:szCs w:val="22"/>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67"/>
        <w:gridCol w:w="1959"/>
        <w:gridCol w:w="1276"/>
        <w:gridCol w:w="1559"/>
        <w:gridCol w:w="1701"/>
        <w:gridCol w:w="1276"/>
      </w:tblGrid>
      <w:tr w14:paraId="6CF2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47C281F">
            <w:pPr>
              <w:pStyle w:val="5"/>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序号</w:t>
            </w:r>
          </w:p>
        </w:tc>
        <w:tc>
          <w:tcPr>
            <w:tcW w:w="2126" w:type="dxa"/>
            <w:gridSpan w:val="2"/>
            <w:vAlign w:val="center"/>
          </w:tcPr>
          <w:p w14:paraId="6A1C0646">
            <w:pPr>
              <w:pStyle w:val="5"/>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项目职务</w:t>
            </w:r>
          </w:p>
        </w:tc>
        <w:tc>
          <w:tcPr>
            <w:tcW w:w="1276" w:type="dxa"/>
            <w:vAlign w:val="center"/>
          </w:tcPr>
          <w:p w14:paraId="5029A38A">
            <w:pPr>
              <w:pStyle w:val="5"/>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姓 名</w:t>
            </w:r>
          </w:p>
        </w:tc>
        <w:tc>
          <w:tcPr>
            <w:tcW w:w="1559" w:type="dxa"/>
            <w:vAlign w:val="center"/>
          </w:tcPr>
          <w:p w14:paraId="6873C57D">
            <w:pPr>
              <w:pStyle w:val="5"/>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执业（从业）</w:t>
            </w:r>
          </w:p>
          <w:p w14:paraId="3C6C3CE1">
            <w:pPr>
              <w:pStyle w:val="5"/>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资格</w:t>
            </w:r>
          </w:p>
        </w:tc>
        <w:tc>
          <w:tcPr>
            <w:tcW w:w="1701" w:type="dxa"/>
            <w:vAlign w:val="center"/>
          </w:tcPr>
          <w:p w14:paraId="1F684FDE">
            <w:pPr>
              <w:pStyle w:val="5"/>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职 称</w:t>
            </w:r>
          </w:p>
        </w:tc>
        <w:tc>
          <w:tcPr>
            <w:tcW w:w="1276" w:type="dxa"/>
            <w:vAlign w:val="center"/>
          </w:tcPr>
          <w:p w14:paraId="7FCCC01A">
            <w:pPr>
              <w:pStyle w:val="5"/>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备 注</w:t>
            </w:r>
          </w:p>
        </w:tc>
      </w:tr>
      <w:tr w14:paraId="4070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31C15A89">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1</w:t>
            </w:r>
          </w:p>
        </w:tc>
        <w:tc>
          <w:tcPr>
            <w:tcW w:w="1959" w:type="dxa"/>
          </w:tcPr>
          <w:p w14:paraId="61BB0BD0">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项目负责人</w:t>
            </w:r>
          </w:p>
        </w:tc>
        <w:tc>
          <w:tcPr>
            <w:tcW w:w="1276" w:type="dxa"/>
          </w:tcPr>
          <w:p w14:paraId="5FC126CB">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李君</w:t>
            </w:r>
          </w:p>
        </w:tc>
        <w:tc>
          <w:tcPr>
            <w:tcW w:w="1559" w:type="dxa"/>
          </w:tcPr>
          <w:p w14:paraId="0FFA19BC">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701" w:type="dxa"/>
          </w:tcPr>
          <w:p w14:paraId="08B9E890">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276" w:type="dxa"/>
          </w:tcPr>
          <w:p w14:paraId="5F1B96AE">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二级复核</w:t>
            </w:r>
          </w:p>
        </w:tc>
      </w:tr>
      <w:tr w14:paraId="344F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36A4A26B">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2</w:t>
            </w:r>
          </w:p>
        </w:tc>
        <w:tc>
          <w:tcPr>
            <w:tcW w:w="1959" w:type="dxa"/>
          </w:tcPr>
          <w:p w14:paraId="64F7AD33">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项目质量控制</w:t>
            </w:r>
          </w:p>
        </w:tc>
        <w:tc>
          <w:tcPr>
            <w:tcW w:w="1276" w:type="dxa"/>
          </w:tcPr>
          <w:p w14:paraId="0CBC5E90">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董界</w:t>
            </w:r>
          </w:p>
        </w:tc>
        <w:tc>
          <w:tcPr>
            <w:tcW w:w="1559" w:type="dxa"/>
          </w:tcPr>
          <w:p w14:paraId="31847668">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701" w:type="dxa"/>
          </w:tcPr>
          <w:p w14:paraId="41BF412F">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高级会计师</w:t>
            </w:r>
          </w:p>
        </w:tc>
        <w:tc>
          <w:tcPr>
            <w:tcW w:w="1276" w:type="dxa"/>
          </w:tcPr>
          <w:p w14:paraId="613473E6">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复核</w:t>
            </w:r>
          </w:p>
        </w:tc>
      </w:tr>
      <w:tr w14:paraId="122C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5E1EF60B">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3</w:t>
            </w:r>
          </w:p>
        </w:tc>
        <w:tc>
          <w:tcPr>
            <w:tcW w:w="1959" w:type="dxa"/>
          </w:tcPr>
          <w:p w14:paraId="64D1FF40">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项目组组长</w:t>
            </w:r>
          </w:p>
        </w:tc>
        <w:tc>
          <w:tcPr>
            <w:tcW w:w="1276" w:type="dxa"/>
          </w:tcPr>
          <w:p w14:paraId="673A32BC">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徐春</w:t>
            </w:r>
          </w:p>
        </w:tc>
        <w:tc>
          <w:tcPr>
            <w:tcW w:w="1559" w:type="dxa"/>
          </w:tcPr>
          <w:p w14:paraId="3EB93322">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701" w:type="dxa"/>
          </w:tcPr>
          <w:p w14:paraId="61EB7B36">
            <w:pPr>
              <w:pStyle w:val="5"/>
              <w:tabs>
                <w:tab w:val="right" w:leader="dot" w:pos="8302"/>
              </w:tabs>
              <w:spacing w:line="340" w:lineRule="exact"/>
              <w:rPr>
                <w:rFonts w:hint="eastAsia" w:ascii="仿宋_GB2312" w:hAnsi="黑体" w:eastAsia="仿宋_GB2312" w:cs="宋体"/>
                <w:sz w:val="24"/>
                <w:highlight w:val="yellow"/>
              </w:rPr>
            </w:pPr>
            <w:r>
              <w:rPr>
                <w:rFonts w:hint="eastAsia" w:ascii="仿宋_GB2312" w:hAnsi="黑体" w:eastAsia="仿宋_GB2312" w:cs="宋体"/>
                <w:sz w:val="24"/>
              </w:rPr>
              <w:t>高级会计师</w:t>
            </w:r>
          </w:p>
        </w:tc>
        <w:tc>
          <w:tcPr>
            <w:tcW w:w="1276" w:type="dxa"/>
          </w:tcPr>
          <w:p w14:paraId="21E2BAFC">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报告执笔</w:t>
            </w:r>
          </w:p>
        </w:tc>
      </w:tr>
      <w:tr w14:paraId="1917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3EE45708">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4</w:t>
            </w:r>
          </w:p>
        </w:tc>
        <w:tc>
          <w:tcPr>
            <w:tcW w:w="1959" w:type="dxa"/>
          </w:tcPr>
          <w:p w14:paraId="58EBADAA">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项目组组长</w:t>
            </w:r>
          </w:p>
        </w:tc>
        <w:tc>
          <w:tcPr>
            <w:tcW w:w="1276" w:type="dxa"/>
          </w:tcPr>
          <w:p w14:paraId="647231D7">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李树林</w:t>
            </w:r>
          </w:p>
        </w:tc>
        <w:tc>
          <w:tcPr>
            <w:tcW w:w="1559" w:type="dxa"/>
          </w:tcPr>
          <w:p w14:paraId="0BEEF234">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701" w:type="dxa"/>
          </w:tcPr>
          <w:p w14:paraId="68CE7A59">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276" w:type="dxa"/>
          </w:tcPr>
          <w:p w14:paraId="543890C8">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报告执笔</w:t>
            </w:r>
          </w:p>
        </w:tc>
      </w:tr>
      <w:tr w14:paraId="3E11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28C3E61A">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5</w:t>
            </w:r>
          </w:p>
        </w:tc>
        <w:tc>
          <w:tcPr>
            <w:tcW w:w="1959" w:type="dxa"/>
          </w:tcPr>
          <w:p w14:paraId="7E5F3DFF">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276" w:type="dxa"/>
          </w:tcPr>
          <w:p w14:paraId="26DA5593">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陈静</w:t>
            </w:r>
          </w:p>
        </w:tc>
        <w:tc>
          <w:tcPr>
            <w:tcW w:w="1559" w:type="dxa"/>
          </w:tcPr>
          <w:p w14:paraId="2111BEA6">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701" w:type="dxa"/>
          </w:tcPr>
          <w:p w14:paraId="40CB9C67">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高级会计师</w:t>
            </w:r>
          </w:p>
        </w:tc>
        <w:tc>
          <w:tcPr>
            <w:tcW w:w="1276" w:type="dxa"/>
          </w:tcPr>
          <w:p w14:paraId="5E3BFACD">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主评</w:t>
            </w:r>
          </w:p>
        </w:tc>
      </w:tr>
      <w:tr w14:paraId="157C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3D92739B">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6</w:t>
            </w:r>
          </w:p>
        </w:tc>
        <w:tc>
          <w:tcPr>
            <w:tcW w:w="1959" w:type="dxa"/>
          </w:tcPr>
          <w:p w14:paraId="3669C4E5">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276" w:type="dxa"/>
          </w:tcPr>
          <w:p w14:paraId="12B358E4">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王清</w:t>
            </w:r>
          </w:p>
        </w:tc>
        <w:tc>
          <w:tcPr>
            <w:tcW w:w="1559" w:type="dxa"/>
          </w:tcPr>
          <w:p w14:paraId="0565D230">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701" w:type="dxa"/>
          </w:tcPr>
          <w:p w14:paraId="2E3D271F">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中级会计师</w:t>
            </w:r>
          </w:p>
        </w:tc>
        <w:tc>
          <w:tcPr>
            <w:tcW w:w="1276" w:type="dxa"/>
          </w:tcPr>
          <w:p w14:paraId="7B12A620">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主评</w:t>
            </w:r>
          </w:p>
        </w:tc>
      </w:tr>
      <w:tr w14:paraId="29BD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55E36128">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7</w:t>
            </w:r>
          </w:p>
        </w:tc>
        <w:tc>
          <w:tcPr>
            <w:tcW w:w="1959" w:type="dxa"/>
          </w:tcPr>
          <w:p w14:paraId="0F13233C">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276" w:type="dxa"/>
          </w:tcPr>
          <w:p w14:paraId="6C3B7742">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李婉晴</w:t>
            </w:r>
          </w:p>
        </w:tc>
        <w:tc>
          <w:tcPr>
            <w:tcW w:w="1559" w:type="dxa"/>
          </w:tcPr>
          <w:p w14:paraId="405AFD3D">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注册会计师（非执业）</w:t>
            </w:r>
          </w:p>
        </w:tc>
        <w:tc>
          <w:tcPr>
            <w:tcW w:w="1701" w:type="dxa"/>
          </w:tcPr>
          <w:p w14:paraId="7DB1D41D">
            <w:pPr>
              <w:pStyle w:val="5"/>
              <w:tabs>
                <w:tab w:val="right" w:leader="dot" w:pos="8302"/>
              </w:tabs>
              <w:spacing w:line="340" w:lineRule="exact"/>
              <w:rPr>
                <w:rFonts w:hint="eastAsia" w:ascii="仿宋_GB2312" w:hAnsi="黑体" w:eastAsia="仿宋_GB2312" w:cs="宋体"/>
                <w:sz w:val="24"/>
              </w:rPr>
            </w:pPr>
          </w:p>
        </w:tc>
        <w:tc>
          <w:tcPr>
            <w:tcW w:w="1276" w:type="dxa"/>
          </w:tcPr>
          <w:p w14:paraId="2A235D43">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主评</w:t>
            </w:r>
          </w:p>
        </w:tc>
      </w:tr>
      <w:tr w14:paraId="2C87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6D058B3E">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8</w:t>
            </w:r>
          </w:p>
        </w:tc>
        <w:tc>
          <w:tcPr>
            <w:tcW w:w="1959" w:type="dxa"/>
          </w:tcPr>
          <w:p w14:paraId="08BBB87F">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276" w:type="dxa"/>
          </w:tcPr>
          <w:p w14:paraId="24A19410">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崔律敏</w:t>
            </w:r>
          </w:p>
        </w:tc>
        <w:tc>
          <w:tcPr>
            <w:tcW w:w="1559" w:type="dxa"/>
          </w:tcPr>
          <w:p w14:paraId="65B9FEEE">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注册会计师（全科合格）</w:t>
            </w:r>
          </w:p>
        </w:tc>
        <w:tc>
          <w:tcPr>
            <w:tcW w:w="1701" w:type="dxa"/>
          </w:tcPr>
          <w:p w14:paraId="2B75D77D">
            <w:pPr>
              <w:pStyle w:val="5"/>
              <w:tabs>
                <w:tab w:val="right" w:leader="dot" w:pos="8302"/>
              </w:tabs>
              <w:spacing w:line="340" w:lineRule="exact"/>
              <w:rPr>
                <w:rFonts w:hint="eastAsia" w:ascii="仿宋_GB2312" w:hAnsi="黑体" w:eastAsia="仿宋_GB2312" w:cs="宋体"/>
                <w:sz w:val="24"/>
              </w:rPr>
            </w:pPr>
          </w:p>
        </w:tc>
        <w:tc>
          <w:tcPr>
            <w:tcW w:w="1276" w:type="dxa"/>
          </w:tcPr>
          <w:p w14:paraId="62D8A6E2">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主评</w:t>
            </w:r>
          </w:p>
        </w:tc>
      </w:tr>
      <w:tr w14:paraId="7C31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53747ACA">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9</w:t>
            </w:r>
          </w:p>
        </w:tc>
        <w:tc>
          <w:tcPr>
            <w:tcW w:w="1959" w:type="dxa"/>
          </w:tcPr>
          <w:p w14:paraId="36978381">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276" w:type="dxa"/>
          </w:tcPr>
          <w:p w14:paraId="6D9CC9D2">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毛玲</w:t>
            </w:r>
          </w:p>
        </w:tc>
        <w:tc>
          <w:tcPr>
            <w:tcW w:w="1559" w:type="dxa"/>
          </w:tcPr>
          <w:p w14:paraId="32F774F3">
            <w:pPr>
              <w:pStyle w:val="5"/>
              <w:tabs>
                <w:tab w:val="right" w:leader="dot" w:pos="8302"/>
              </w:tabs>
              <w:spacing w:line="340" w:lineRule="exact"/>
              <w:rPr>
                <w:rFonts w:hint="eastAsia" w:ascii="仿宋_GB2312" w:hAnsi="黑体" w:eastAsia="仿宋_GB2312" w:cs="宋体"/>
                <w:sz w:val="24"/>
              </w:rPr>
            </w:pPr>
          </w:p>
        </w:tc>
        <w:tc>
          <w:tcPr>
            <w:tcW w:w="1701" w:type="dxa"/>
          </w:tcPr>
          <w:p w14:paraId="5A4E6B43">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中级会计师</w:t>
            </w:r>
          </w:p>
        </w:tc>
        <w:tc>
          <w:tcPr>
            <w:tcW w:w="1276" w:type="dxa"/>
          </w:tcPr>
          <w:p w14:paraId="0D75D324">
            <w:pPr>
              <w:pStyle w:val="5"/>
              <w:tabs>
                <w:tab w:val="right" w:leader="dot" w:pos="8302"/>
              </w:tabs>
              <w:spacing w:line="340" w:lineRule="exact"/>
              <w:rPr>
                <w:rFonts w:hint="eastAsia" w:ascii="仿宋_GB2312" w:hAnsi="黑体" w:eastAsia="仿宋_GB2312" w:cs="宋体"/>
                <w:sz w:val="24"/>
              </w:rPr>
            </w:pPr>
          </w:p>
        </w:tc>
      </w:tr>
      <w:tr w14:paraId="04DF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1E4BDCB4">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10</w:t>
            </w:r>
          </w:p>
        </w:tc>
        <w:tc>
          <w:tcPr>
            <w:tcW w:w="1959" w:type="dxa"/>
          </w:tcPr>
          <w:p w14:paraId="5F5EB6D6">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276" w:type="dxa"/>
          </w:tcPr>
          <w:p w14:paraId="4F991A97">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李玥</w:t>
            </w:r>
          </w:p>
        </w:tc>
        <w:tc>
          <w:tcPr>
            <w:tcW w:w="1559" w:type="dxa"/>
          </w:tcPr>
          <w:p w14:paraId="3F9DED72">
            <w:pPr>
              <w:pStyle w:val="5"/>
              <w:tabs>
                <w:tab w:val="right" w:leader="dot" w:pos="8302"/>
              </w:tabs>
              <w:spacing w:line="340" w:lineRule="exact"/>
              <w:rPr>
                <w:rFonts w:hint="eastAsia" w:ascii="仿宋_GB2312" w:hAnsi="黑体" w:eastAsia="仿宋_GB2312" w:cs="宋体"/>
                <w:sz w:val="24"/>
              </w:rPr>
            </w:pPr>
          </w:p>
        </w:tc>
        <w:tc>
          <w:tcPr>
            <w:tcW w:w="1701" w:type="dxa"/>
          </w:tcPr>
          <w:p w14:paraId="28AAF90B">
            <w:pPr>
              <w:pStyle w:val="5"/>
              <w:tabs>
                <w:tab w:val="right" w:leader="dot" w:pos="8302"/>
              </w:tabs>
              <w:spacing w:line="340" w:lineRule="exact"/>
              <w:rPr>
                <w:rFonts w:hint="eastAsia" w:ascii="仿宋_GB2312" w:hAnsi="黑体" w:eastAsia="仿宋_GB2312" w:cs="宋体"/>
                <w:sz w:val="24"/>
              </w:rPr>
            </w:pPr>
          </w:p>
        </w:tc>
        <w:tc>
          <w:tcPr>
            <w:tcW w:w="1276" w:type="dxa"/>
          </w:tcPr>
          <w:p w14:paraId="4220F18A">
            <w:pPr>
              <w:pStyle w:val="5"/>
              <w:tabs>
                <w:tab w:val="right" w:leader="dot" w:pos="8302"/>
              </w:tabs>
              <w:spacing w:line="340" w:lineRule="exact"/>
              <w:rPr>
                <w:rFonts w:hint="eastAsia" w:ascii="仿宋_GB2312" w:hAnsi="黑体" w:eastAsia="仿宋_GB2312" w:cs="宋体"/>
                <w:sz w:val="24"/>
              </w:rPr>
            </w:pPr>
          </w:p>
        </w:tc>
      </w:tr>
      <w:tr w14:paraId="2BC7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7C0693B4">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11</w:t>
            </w:r>
          </w:p>
        </w:tc>
        <w:tc>
          <w:tcPr>
            <w:tcW w:w="1959" w:type="dxa"/>
          </w:tcPr>
          <w:p w14:paraId="235D6ADC">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276" w:type="dxa"/>
          </w:tcPr>
          <w:p w14:paraId="51D9472C">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龚向琴</w:t>
            </w:r>
          </w:p>
        </w:tc>
        <w:tc>
          <w:tcPr>
            <w:tcW w:w="1559" w:type="dxa"/>
          </w:tcPr>
          <w:p w14:paraId="178C473E">
            <w:pPr>
              <w:pStyle w:val="5"/>
              <w:tabs>
                <w:tab w:val="right" w:leader="dot" w:pos="8302"/>
              </w:tabs>
              <w:spacing w:line="340" w:lineRule="exact"/>
              <w:rPr>
                <w:rFonts w:hint="eastAsia" w:ascii="仿宋_GB2312" w:hAnsi="黑体" w:eastAsia="仿宋_GB2312" w:cs="宋体"/>
                <w:sz w:val="24"/>
              </w:rPr>
            </w:pPr>
          </w:p>
        </w:tc>
        <w:tc>
          <w:tcPr>
            <w:tcW w:w="1701" w:type="dxa"/>
          </w:tcPr>
          <w:p w14:paraId="7B95CA58">
            <w:pPr>
              <w:pStyle w:val="5"/>
              <w:tabs>
                <w:tab w:val="right" w:leader="dot" w:pos="8302"/>
              </w:tabs>
              <w:spacing w:line="340" w:lineRule="exact"/>
              <w:rPr>
                <w:rFonts w:hint="eastAsia" w:ascii="仿宋_GB2312" w:hAnsi="黑体" w:eastAsia="仿宋_GB2312" w:cs="宋体"/>
                <w:sz w:val="24"/>
              </w:rPr>
            </w:pPr>
          </w:p>
        </w:tc>
        <w:tc>
          <w:tcPr>
            <w:tcW w:w="1276" w:type="dxa"/>
          </w:tcPr>
          <w:p w14:paraId="3C809458">
            <w:pPr>
              <w:pStyle w:val="5"/>
              <w:tabs>
                <w:tab w:val="right" w:leader="dot" w:pos="8302"/>
              </w:tabs>
              <w:spacing w:line="340" w:lineRule="exact"/>
              <w:rPr>
                <w:rFonts w:hint="eastAsia" w:ascii="仿宋_GB2312" w:hAnsi="黑体" w:eastAsia="仿宋_GB2312" w:cs="宋体"/>
                <w:sz w:val="24"/>
              </w:rPr>
            </w:pPr>
          </w:p>
        </w:tc>
      </w:tr>
      <w:tr w14:paraId="4C54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gridSpan w:val="2"/>
          </w:tcPr>
          <w:p w14:paraId="2B7FCC40">
            <w:pPr>
              <w:pStyle w:val="5"/>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12</w:t>
            </w:r>
          </w:p>
        </w:tc>
        <w:tc>
          <w:tcPr>
            <w:tcW w:w="1959" w:type="dxa"/>
          </w:tcPr>
          <w:p w14:paraId="60CB8C57">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276" w:type="dxa"/>
          </w:tcPr>
          <w:p w14:paraId="7BD3BE51">
            <w:pPr>
              <w:pStyle w:val="5"/>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易青红</w:t>
            </w:r>
          </w:p>
        </w:tc>
        <w:tc>
          <w:tcPr>
            <w:tcW w:w="1559" w:type="dxa"/>
          </w:tcPr>
          <w:p w14:paraId="05392C08">
            <w:pPr>
              <w:pStyle w:val="5"/>
              <w:tabs>
                <w:tab w:val="right" w:leader="dot" w:pos="8302"/>
              </w:tabs>
              <w:spacing w:line="340" w:lineRule="exact"/>
              <w:rPr>
                <w:rFonts w:hint="eastAsia" w:ascii="仿宋_GB2312" w:hAnsi="黑体" w:eastAsia="仿宋_GB2312" w:cs="宋体"/>
                <w:sz w:val="24"/>
              </w:rPr>
            </w:pPr>
          </w:p>
        </w:tc>
        <w:tc>
          <w:tcPr>
            <w:tcW w:w="1701" w:type="dxa"/>
          </w:tcPr>
          <w:p w14:paraId="7D5AD318">
            <w:pPr>
              <w:pStyle w:val="5"/>
              <w:tabs>
                <w:tab w:val="right" w:leader="dot" w:pos="8302"/>
              </w:tabs>
              <w:spacing w:line="340" w:lineRule="exact"/>
              <w:rPr>
                <w:rFonts w:hint="eastAsia" w:ascii="仿宋_GB2312" w:hAnsi="黑体" w:eastAsia="仿宋_GB2312" w:cs="宋体"/>
                <w:sz w:val="24"/>
              </w:rPr>
            </w:pPr>
          </w:p>
        </w:tc>
        <w:tc>
          <w:tcPr>
            <w:tcW w:w="1276" w:type="dxa"/>
          </w:tcPr>
          <w:p w14:paraId="206135A8">
            <w:pPr>
              <w:pStyle w:val="5"/>
              <w:tabs>
                <w:tab w:val="right" w:leader="dot" w:pos="8302"/>
              </w:tabs>
              <w:spacing w:line="340" w:lineRule="exact"/>
              <w:rPr>
                <w:rFonts w:hint="eastAsia" w:ascii="仿宋_GB2312" w:hAnsi="黑体" w:eastAsia="仿宋_GB2312" w:cs="宋体"/>
                <w:sz w:val="24"/>
              </w:rPr>
            </w:pPr>
          </w:p>
        </w:tc>
      </w:tr>
    </w:tbl>
    <w:p w14:paraId="57CC0DE4">
      <w:pPr>
        <w:pStyle w:val="5"/>
        <w:tabs>
          <w:tab w:val="right" w:leader="dot" w:pos="8302"/>
        </w:tabs>
        <w:spacing w:line="340" w:lineRule="exact"/>
        <w:rPr>
          <w:rFonts w:hint="eastAsia" w:ascii="仿宋_GB2312" w:hAnsi="黑体" w:eastAsia="仿宋_GB2312" w:cs="宋体"/>
          <w:sz w:val="24"/>
        </w:rPr>
      </w:pPr>
    </w:p>
    <w:sdt>
      <w:sdtPr>
        <w:rPr>
          <w:rFonts w:hint="eastAsia" w:ascii="仿宋_GB2312" w:hAnsi="黑体" w:eastAsia="仿宋_GB2312" w:cs="宋体"/>
          <w:b/>
          <w:bCs/>
          <w:sz w:val="36"/>
          <w:szCs w:val="36"/>
        </w:rPr>
        <w:id w:val="147457597"/>
        <w15:color w:val="DBDBDB"/>
        <w:docPartObj>
          <w:docPartGallery w:val="Table of Contents"/>
          <w:docPartUnique/>
        </w:docPartObj>
      </w:sdtPr>
      <w:sdtEndPr>
        <w:rPr>
          <w:rFonts w:hint="eastAsia" w:ascii="仿宋_GB2312" w:hAnsi="黑体" w:eastAsia="仿宋_GB2312" w:cs="宋体"/>
          <w:b/>
          <w:bCs/>
          <w:sz w:val="36"/>
          <w:szCs w:val="36"/>
        </w:rPr>
      </w:sdtEndPr>
      <w:sdtContent>
        <w:p w14:paraId="4A3DC336">
          <w:pPr>
            <w:pStyle w:val="5"/>
            <w:tabs>
              <w:tab w:val="right" w:leader="dot" w:pos="8302"/>
            </w:tabs>
            <w:spacing w:line="340" w:lineRule="exact"/>
            <w:jc w:val="center"/>
            <w:rPr>
              <w:rFonts w:hint="eastAsia" w:ascii="仿宋_GB2312" w:hAnsi="黑体" w:eastAsia="仿宋_GB2312" w:cs="宋体"/>
              <w:b/>
              <w:bCs/>
              <w:sz w:val="36"/>
              <w:szCs w:val="36"/>
            </w:rPr>
          </w:pPr>
          <w:r>
            <w:rPr>
              <w:rFonts w:hint="eastAsia" w:ascii="仿宋_GB2312" w:hAnsi="黑体" w:eastAsia="仿宋_GB2312" w:cs="宋体"/>
              <w:b/>
              <w:bCs/>
              <w:sz w:val="36"/>
              <w:szCs w:val="36"/>
            </w:rPr>
            <w:t>目  录</w:t>
          </w:r>
        </w:p>
        <w:p w14:paraId="3E76D139">
          <w:pPr>
            <w:pStyle w:val="11"/>
            <w:tabs>
              <w:tab w:val="right" w:leader="dot" w:pos="8306"/>
            </w:tabs>
            <w:ind w:left="600"/>
          </w:pPr>
          <w:r>
            <w:fldChar w:fldCharType="begin"/>
          </w:r>
          <w:r>
            <w:instrText xml:space="preserve">TOC \o "1-2" \h \u </w:instrText>
          </w:r>
          <w:r>
            <w:fldChar w:fldCharType="separate"/>
          </w:r>
        </w:p>
        <w:p w14:paraId="6F45530B">
          <w:pPr>
            <w:pStyle w:val="10"/>
            <w:tabs>
              <w:tab w:val="right" w:leader="dot" w:pos="8306"/>
            </w:tabs>
            <w:rPr>
              <w:rFonts w:hint="eastAsia" w:ascii="仿宋" w:hAnsi="仿宋" w:eastAsia="仿宋" w:cs="仿宋"/>
              <w:b/>
              <w:sz w:val="28"/>
              <w:szCs w:val="28"/>
            </w:rPr>
          </w:pPr>
          <w:r>
            <w:fldChar w:fldCharType="begin"/>
          </w:r>
          <w:r>
            <w:instrText xml:space="preserve"> HYPERLINK \l "_Toc24690" </w:instrText>
          </w:r>
          <w:r>
            <w:fldChar w:fldCharType="separate"/>
          </w:r>
          <w:r>
            <w:rPr>
              <w:rFonts w:hint="eastAsia" w:ascii="仿宋" w:hAnsi="仿宋" w:eastAsia="仿宋" w:cs="仿宋"/>
              <w:b/>
              <w:sz w:val="28"/>
              <w:szCs w:val="28"/>
            </w:rPr>
            <w:t>一、绩效评价目的</w:t>
          </w:r>
          <w:r>
            <w:rPr>
              <w:rFonts w:hint="eastAsia" w:ascii="仿宋" w:hAnsi="仿宋" w:eastAsia="仿宋" w:cs="仿宋"/>
              <w:b/>
              <w:sz w:val="28"/>
              <w:szCs w:val="28"/>
            </w:rPr>
            <w:tab/>
          </w:r>
          <w:r>
            <w:rPr>
              <w:rFonts w:hint="eastAsia" w:ascii="仿宋" w:hAnsi="仿宋" w:eastAsia="仿宋" w:cs="仿宋"/>
              <w:b/>
              <w:sz w:val="28"/>
              <w:szCs w:val="28"/>
            </w:rPr>
            <w:t>5</w:t>
          </w:r>
          <w:r>
            <w:rPr>
              <w:rFonts w:hint="eastAsia" w:ascii="仿宋" w:hAnsi="仿宋" w:eastAsia="仿宋" w:cs="仿宋"/>
              <w:b/>
              <w:sz w:val="28"/>
              <w:szCs w:val="28"/>
            </w:rPr>
            <w:fldChar w:fldCharType="end"/>
          </w:r>
        </w:p>
        <w:p w14:paraId="518FB6F2">
          <w:pPr>
            <w:pStyle w:val="10"/>
            <w:tabs>
              <w:tab w:val="right" w:leader="dot" w:pos="8306"/>
            </w:tabs>
            <w:rPr>
              <w:rFonts w:hint="eastAsia" w:ascii="仿宋" w:hAnsi="仿宋" w:eastAsia="仿宋" w:cs="仿宋"/>
              <w:b/>
              <w:sz w:val="28"/>
              <w:szCs w:val="28"/>
            </w:rPr>
          </w:pPr>
          <w:r>
            <w:fldChar w:fldCharType="begin"/>
          </w:r>
          <w:r>
            <w:instrText xml:space="preserve"> HYPERLINK \l "_Toc14386" </w:instrText>
          </w:r>
          <w:r>
            <w:fldChar w:fldCharType="separate"/>
          </w:r>
          <w:r>
            <w:rPr>
              <w:rFonts w:hint="eastAsia" w:ascii="仿宋" w:hAnsi="仿宋" w:eastAsia="仿宋" w:cs="仿宋"/>
              <w:b/>
              <w:sz w:val="28"/>
              <w:szCs w:val="28"/>
            </w:rPr>
            <w:t>二、基本情况</w:t>
          </w:r>
          <w:r>
            <w:rPr>
              <w:rFonts w:hint="eastAsia" w:ascii="仿宋" w:hAnsi="仿宋" w:eastAsia="仿宋" w:cs="仿宋"/>
              <w:b/>
              <w:sz w:val="28"/>
              <w:szCs w:val="28"/>
            </w:rPr>
            <w:tab/>
          </w:r>
          <w:r>
            <w:rPr>
              <w:rFonts w:hint="eastAsia" w:ascii="仿宋" w:hAnsi="仿宋" w:eastAsia="仿宋" w:cs="仿宋"/>
              <w:b/>
              <w:sz w:val="28"/>
              <w:szCs w:val="28"/>
            </w:rPr>
            <w:t>6</w:t>
          </w:r>
          <w:r>
            <w:rPr>
              <w:rFonts w:hint="eastAsia" w:ascii="仿宋" w:hAnsi="仿宋" w:eastAsia="仿宋" w:cs="仿宋"/>
              <w:b/>
              <w:sz w:val="28"/>
              <w:szCs w:val="28"/>
            </w:rPr>
            <w:fldChar w:fldCharType="end"/>
          </w:r>
        </w:p>
        <w:p w14:paraId="116A35C3">
          <w:pPr>
            <w:pStyle w:val="11"/>
            <w:tabs>
              <w:tab w:val="right" w:leader="dot" w:pos="8306"/>
            </w:tabs>
            <w:ind w:left="600"/>
            <w:rPr>
              <w:rFonts w:hint="eastAsia" w:ascii="仿宋" w:hAnsi="仿宋" w:eastAsia="仿宋" w:cs="仿宋"/>
              <w:sz w:val="28"/>
              <w:szCs w:val="28"/>
            </w:rPr>
          </w:pPr>
          <w:r>
            <w:fldChar w:fldCharType="begin"/>
          </w:r>
          <w:r>
            <w:instrText xml:space="preserve"> HYPERLINK \l "_Toc1069" </w:instrText>
          </w:r>
          <w:r>
            <w:fldChar w:fldCharType="separate"/>
          </w:r>
          <w:r>
            <w:rPr>
              <w:rFonts w:hint="eastAsia" w:ascii="仿宋" w:hAnsi="仿宋" w:eastAsia="仿宋" w:cs="仿宋"/>
              <w:bCs/>
              <w:spacing w:val="6"/>
              <w:sz w:val="28"/>
              <w:szCs w:val="28"/>
            </w:rPr>
            <w:t>1.项目实施单位基本情况</w:t>
          </w:r>
          <w:r>
            <w:rPr>
              <w:rFonts w:hint="eastAsia" w:ascii="仿宋" w:hAnsi="仿宋" w:eastAsia="仿宋" w:cs="仿宋"/>
              <w:sz w:val="28"/>
              <w:szCs w:val="28"/>
            </w:rPr>
            <w:tab/>
          </w:r>
          <w:r>
            <w:rPr>
              <w:rFonts w:hint="eastAsia" w:ascii="仿宋" w:hAnsi="仿宋" w:eastAsia="仿宋" w:cs="仿宋"/>
              <w:sz w:val="28"/>
              <w:szCs w:val="28"/>
            </w:rPr>
            <w:t>6</w:t>
          </w:r>
          <w:r>
            <w:rPr>
              <w:rFonts w:hint="eastAsia" w:ascii="仿宋" w:hAnsi="仿宋" w:eastAsia="仿宋" w:cs="仿宋"/>
              <w:sz w:val="28"/>
              <w:szCs w:val="28"/>
            </w:rPr>
            <w:fldChar w:fldCharType="end"/>
          </w:r>
        </w:p>
        <w:p w14:paraId="329D3722">
          <w:pPr>
            <w:pStyle w:val="11"/>
            <w:tabs>
              <w:tab w:val="right" w:leader="dot" w:pos="8306"/>
            </w:tabs>
            <w:ind w:left="600"/>
            <w:rPr>
              <w:rFonts w:hint="eastAsia" w:ascii="仿宋" w:hAnsi="仿宋" w:eastAsia="仿宋" w:cs="仿宋"/>
              <w:sz w:val="28"/>
              <w:szCs w:val="28"/>
            </w:rPr>
          </w:pPr>
          <w:r>
            <w:fldChar w:fldCharType="begin"/>
          </w:r>
          <w:r>
            <w:instrText xml:space="preserve"> HYPERLINK \l "_Toc26490" </w:instrText>
          </w:r>
          <w:r>
            <w:fldChar w:fldCharType="separate"/>
          </w:r>
          <w:r>
            <w:rPr>
              <w:rFonts w:hint="eastAsia" w:ascii="仿宋" w:hAnsi="仿宋" w:eastAsia="仿宋" w:cs="仿宋"/>
              <w:bCs/>
              <w:spacing w:val="6"/>
              <w:sz w:val="28"/>
              <w:szCs w:val="28"/>
            </w:rPr>
            <w:t>2.项目基本情况</w:t>
          </w:r>
          <w:r>
            <w:rPr>
              <w:rFonts w:hint="eastAsia" w:ascii="仿宋" w:hAnsi="仿宋" w:eastAsia="仿宋" w:cs="仿宋"/>
              <w:sz w:val="28"/>
              <w:szCs w:val="28"/>
            </w:rPr>
            <w:tab/>
          </w:r>
          <w:r>
            <w:rPr>
              <w:rFonts w:hint="eastAsia" w:ascii="仿宋" w:hAnsi="仿宋" w:eastAsia="仿宋" w:cs="仿宋"/>
              <w:sz w:val="28"/>
              <w:szCs w:val="28"/>
            </w:rPr>
            <w:t>8</w:t>
          </w:r>
          <w:r>
            <w:rPr>
              <w:rFonts w:hint="eastAsia" w:ascii="仿宋" w:hAnsi="仿宋" w:eastAsia="仿宋" w:cs="仿宋"/>
              <w:sz w:val="28"/>
              <w:szCs w:val="28"/>
            </w:rPr>
            <w:fldChar w:fldCharType="end"/>
          </w:r>
        </w:p>
        <w:p w14:paraId="5458DD28">
          <w:pPr>
            <w:pStyle w:val="10"/>
            <w:tabs>
              <w:tab w:val="right" w:leader="dot" w:pos="8306"/>
            </w:tabs>
            <w:rPr>
              <w:rFonts w:hint="eastAsia" w:ascii="仿宋" w:hAnsi="仿宋" w:eastAsia="仿宋" w:cs="仿宋"/>
              <w:b/>
              <w:sz w:val="28"/>
              <w:szCs w:val="28"/>
            </w:rPr>
          </w:pPr>
          <w:r>
            <w:fldChar w:fldCharType="begin"/>
          </w:r>
          <w:r>
            <w:instrText xml:space="preserve"> HYPERLINK \l "_Toc25865" </w:instrText>
          </w:r>
          <w:r>
            <w:fldChar w:fldCharType="separate"/>
          </w:r>
          <w:r>
            <w:rPr>
              <w:rFonts w:hint="eastAsia" w:ascii="仿宋" w:hAnsi="仿宋" w:eastAsia="仿宋" w:cs="仿宋"/>
              <w:b/>
              <w:spacing w:val="6"/>
              <w:sz w:val="28"/>
              <w:szCs w:val="28"/>
            </w:rPr>
            <w:t>三、绩效评价组织情况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_Toc25865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70291E25">
          <w:pPr>
            <w:pStyle w:val="11"/>
            <w:tabs>
              <w:tab w:val="right" w:leader="dot" w:pos="8306"/>
            </w:tabs>
            <w:ind w:left="600"/>
            <w:rPr>
              <w:rFonts w:hint="eastAsia" w:ascii="仿宋" w:hAnsi="仿宋" w:eastAsia="仿宋" w:cs="仿宋"/>
              <w:sz w:val="28"/>
              <w:szCs w:val="28"/>
            </w:rPr>
          </w:pPr>
          <w:r>
            <w:fldChar w:fldCharType="begin"/>
          </w:r>
          <w:r>
            <w:instrText xml:space="preserve"> HYPERLINK \l "_Toc15973" </w:instrText>
          </w:r>
          <w:r>
            <w:fldChar w:fldCharType="separate"/>
          </w:r>
          <w:r>
            <w:rPr>
              <w:rFonts w:hint="eastAsia" w:ascii="仿宋" w:hAnsi="仿宋" w:eastAsia="仿宋" w:cs="仿宋"/>
              <w:spacing w:val="6"/>
              <w:sz w:val="28"/>
              <w:szCs w:val="28"/>
            </w:rPr>
            <w:t>（一）绩效评价依据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_Toc15973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47670BE">
          <w:pPr>
            <w:pStyle w:val="11"/>
            <w:tabs>
              <w:tab w:val="right" w:leader="dot" w:pos="8306"/>
            </w:tabs>
            <w:ind w:left="600"/>
            <w:rPr>
              <w:rFonts w:hint="eastAsia" w:ascii="仿宋" w:hAnsi="仿宋" w:eastAsia="仿宋" w:cs="仿宋"/>
              <w:sz w:val="28"/>
              <w:szCs w:val="28"/>
            </w:rPr>
          </w:pPr>
          <w:r>
            <w:fldChar w:fldCharType="begin"/>
          </w:r>
          <w:r>
            <w:instrText xml:space="preserve"> HYPERLINK \l "_Toc8931" </w:instrText>
          </w:r>
          <w:r>
            <w:fldChar w:fldCharType="separate"/>
          </w:r>
          <w:r>
            <w:rPr>
              <w:rFonts w:hint="eastAsia" w:ascii="仿宋" w:hAnsi="仿宋" w:eastAsia="仿宋" w:cs="仿宋"/>
              <w:spacing w:val="6"/>
              <w:sz w:val="28"/>
              <w:szCs w:val="28"/>
            </w:rPr>
            <w:t>（二）绩效评价工作程序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_Toc8931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D01A3D">
          <w:pPr>
            <w:pStyle w:val="11"/>
            <w:tabs>
              <w:tab w:val="right" w:leader="dot" w:pos="8306"/>
            </w:tabs>
            <w:ind w:left="600"/>
            <w:rPr>
              <w:rFonts w:hint="eastAsia" w:ascii="仿宋" w:hAnsi="仿宋" w:eastAsia="仿宋" w:cs="仿宋"/>
              <w:sz w:val="28"/>
              <w:szCs w:val="28"/>
            </w:rPr>
          </w:pPr>
          <w:r>
            <w:fldChar w:fldCharType="begin"/>
          </w:r>
          <w:r>
            <w:instrText xml:space="preserve"> HYPERLINK \l "_Toc12195" </w:instrText>
          </w:r>
          <w:r>
            <w:fldChar w:fldCharType="separate"/>
          </w:r>
          <w:r>
            <w:rPr>
              <w:rFonts w:hint="eastAsia" w:ascii="仿宋" w:hAnsi="仿宋" w:eastAsia="仿宋" w:cs="仿宋"/>
              <w:spacing w:val="6"/>
              <w:sz w:val="28"/>
              <w:szCs w:val="28"/>
            </w:rPr>
            <w:t>（三）绩效评价方法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_Toc12195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8B81AF">
          <w:pPr>
            <w:pStyle w:val="11"/>
            <w:tabs>
              <w:tab w:val="right" w:leader="dot" w:pos="8306"/>
            </w:tabs>
            <w:ind w:left="600"/>
            <w:rPr>
              <w:rFonts w:hint="eastAsia" w:ascii="仿宋" w:hAnsi="仿宋" w:eastAsia="仿宋" w:cs="仿宋"/>
              <w:sz w:val="28"/>
              <w:szCs w:val="28"/>
            </w:rPr>
          </w:pPr>
          <w:r>
            <w:fldChar w:fldCharType="begin"/>
          </w:r>
          <w:r>
            <w:instrText xml:space="preserve"> HYPERLINK \l "_Toc30439" </w:instrText>
          </w:r>
          <w:r>
            <w:fldChar w:fldCharType="separate"/>
          </w:r>
          <w:r>
            <w:rPr>
              <w:rFonts w:hint="eastAsia" w:ascii="仿宋" w:hAnsi="仿宋" w:eastAsia="仿宋" w:cs="仿宋"/>
              <w:spacing w:val="6"/>
              <w:sz w:val="28"/>
              <w:szCs w:val="28"/>
            </w:rPr>
            <w:t>（四）绩效评价指标体系</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4</w:t>
          </w:r>
        </w:p>
        <w:p w14:paraId="52FAE33A">
          <w:pPr>
            <w:pStyle w:val="11"/>
            <w:tabs>
              <w:tab w:val="right" w:leader="dot" w:pos="8306"/>
            </w:tabs>
            <w:ind w:left="600"/>
            <w:rPr>
              <w:rFonts w:hint="eastAsia" w:ascii="仿宋" w:hAnsi="仿宋" w:eastAsia="仿宋" w:cs="仿宋"/>
              <w:sz w:val="28"/>
              <w:szCs w:val="28"/>
            </w:rPr>
          </w:pPr>
          <w:r>
            <w:fldChar w:fldCharType="begin"/>
          </w:r>
          <w:r>
            <w:instrText xml:space="preserve"> HYPERLINK \l "_Toc17407" </w:instrText>
          </w:r>
          <w:r>
            <w:fldChar w:fldCharType="separate"/>
          </w:r>
          <w:r>
            <w:rPr>
              <w:rFonts w:hint="eastAsia" w:ascii="仿宋" w:hAnsi="仿宋" w:eastAsia="仿宋" w:cs="仿宋"/>
              <w:spacing w:val="6"/>
              <w:sz w:val="28"/>
              <w:szCs w:val="28"/>
            </w:rPr>
            <w:t>（五）绩效评价抽样情况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_Toc17407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EBFAF0">
          <w:pPr>
            <w:pStyle w:val="10"/>
            <w:tabs>
              <w:tab w:val="right" w:leader="dot" w:pos="8306"/>
            </w:tabs>
            <w:rPr>
              <w:rFonts w:hint="eastAsia" w:ascii="仿宋" w:hAnsi="仿宋" w:eastAsia="仿宋" w:cs="仿宋"/>
              <w:b/>
              <w:sz w:val="28"/>
              <w:szCs w:val="28"/>
            </w:rPr>
          </w:pPr>
          <w:r>
            <w:fldChar w:fldCharType="begin"/>
          </w:r>
          <w:r>
            <w:instrText xml:space="preserve"> HYPERLINK \l "_Toc29118" </w:instrText>
          </w:r>
          <w:r>
            <w:fldChar w:fldCharType="separate"/>
          </w:r>
          <w:r>
            <w:rPr>
              <w:rFonts w:hint="eastAsia" w:ascii="仿宋" w:hAnsi="仿宋" w:eastAsia="仿宋" w:cs="仿宋"/>
              <w:b/>
              <w:sz w:val="28"/>
              <w:szCs w:val="28"/>
            </w:rPr>
            <w:t>四、绩效评价结论及绩效目标实现情况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_Toc29118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106C558">
          <w:pPr>
            <w:pStyle w:val="10"/>
            <w:tabs>
              <w:tab w:val="right" w:leader="dot" w:pos="8306"/>
            </w:tabs>
            <w:rPr>
              <w:rFonts w:hint="eastAsia" w:ascii="仿宋" w:hAnsi="仿宋" w:eastAsia="仿宋" w:cs="仿宋"/>
              <w:b/>
              <w:sz w:val="28"/>
              <w:szCs w:val="28"/>
            </w:rPr>
          </w:pPr>
          <w:r>
            <w:fldChar w:fldCharType="begin"/>
          </w:r>
          <w:r>
            <w:instrText xml:space="preserve"> HYPERLINK \l "_Toc28768" </w:instrText>
          </w:r>
          <w:r>
            <w:fldChar w:fldCharType="separate"/>
          </w:r>
          <w:r>
            <w:rPr>
              <w:rFonts w:hint="eastAsia" w:ascii="仿宋" w:hAnsi="仿宋" w:eastAsia="仿宋" w:cs="仿宋"/>
              <w:b/>
              <w:sz w:val="28"/>
              <w:szCs w:val="28"/>
            </w:rPr>
            <w:t>五、 绩效评价情况分析</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_Toc28768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BCD9A0F">
          <w:pPr>
            <w:pStyle w:val="11"/>
            <w:tabs>
              <w:tab w:val="right" w:leader="dot" w:pos="8306"/>
            </w:tabs>
            <w:ind w:left="600"/>
            <w:rPr>
              <w:rFonts w:hint="eastAsia" w:ascii="仿宋" w:hAnsi="仿宋" w:eastAsia="仿宋" w:cs="仿宋"/>
              <w:sz w:val="28"/>
              <w:szCs w:val="28"/>
            </w:rPr>
          </w:pPr>
          <w:r>
            <w:fldChar w:fldCharType="begin"/>
          </w:r>
          <w:r>
            <w:instrText xml:space="preserve"> HYPERLINK \l "_Toc18438" </w:instrText>
          </w:r>
          <w:r>
            <w:fldChar w:fldCharType="separate"/>
          </w:r>
          <w:r>
            <w:rPr>
              <w:rFonts w:hint="eastAsia" w:ascii="仿宋" w:hAnsi="仿宋" w:eastAsia="仿宋" w:cs="仿宋"/>
              <w:spacing w:val="6"/>
              <w:sz w:val="28"/>
              <w:szCs w:val="28"/>
            </w:rPr>
            <w:t>（一）投入情况分析（总分17分，得9分）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_Toc18438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9C0A29">
          <w:pPr>
            <w:pStyle w:val="11"/>
            <w:tabs>
              <w:tab w:val="right" w:leader="dot" w:pos="8306"/>
            </w:tabs>
            <w:ind w:left="600"/>
            <w:rPr>
              <w:rFonts w:hint="eastAsia" w:ascii="仿宋" w:hAnsi="仿宋" w:eastAsia="仿宋" w:cs="仿宋"/>
              <w:sz w:val="28"/>
              <w:szCs w:val="28"/>
            </w:rPr>
          </w:pPr>
          <w:r>
            <w:fldChar w:fldCharType="begin"/>
          </w:r>
          <w:r>
            <w:instrText xml:space="preserve"> HYPERLINK \l "_Toc17631" </w:instrText>
          </w:r>
          <w:r>
            <w:fldChar w:fldCharType="separate"/>
          </w:r>
          <w:r>
            <w:rPr>
              <w:rFonts w:hint="eastAsia" w:ascii="仿宋" w:hAnsi="仿宋" w:eastAsia="仿宋" w:cs="仿宋"/>
              <w:spacing w:val="6"/>
              <w:sz w:val="28"/>
              <w:szCs w:val="28"/>
            </w:rPr>
            <w:t>（二）管理情况分析（总分17分，得17分）</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7</w:t>
          </w:r>
        </w:p>
        <w:p w14:paraId="723EC97E">
          <w:pPr>
            <w:pStyle w:val="11"/>
            <w:tabs>
              <w:tab w:val="right" w:leader="dot" w:pos="8306"/>
            </w:tabs>
            <w:ind w:left="600"/>
            <w:rPr>
              <w:rFonts w:hint="eastAsia" w:ascii="仿宋" w:hAnsi="仿宋" w:eastAsia="仿宋" w:cs="仿宋"/>
              <w:sz w:val="28"/>
              <w:szCs w:val="28"/>
            </w:rPr>
          </w:pPr>
          <w:r>
            <w:fldChar w:fldCharType="begin"/>
          </w:r>
          <w:r>
            <w:instrText xml:space="preserve"> HYPERLINK \l "_Toc1961" </w:instrText>
          </w:r>
          <w:r>
            <w:fldChar w:fldCharType="separate"/>
          </w:r>
          <w:r>
            <w:rPr>
              <w:rFonts w:hint="eastAsia" w:ascii="仿宋" w:hAnsi="仿宋" w:eastAsia="仿宋" w:cs="仿宋"/>
              <w:spacing w:val="6"/>
              <w:sz w:val="28"/>
              <w:szCs w:val="28"/>
            </w:rPr>
            <w:t>（三）产出情况分析（总分52分，得41.29分）</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8</w:t>
          </w:r>
        </w:p>
        <w:p w14:paraId="6DC4D7B0">
          <w:pPr>
            <w:pStyle w:val="11"/>
            <w:tabs>
              <w:tab w:val="right" w:leader="dot" w:pos="8306"/>
            </w:tabs>
            <w:ind w:left="600"/>
            <w:rPr>
              <w:rFonts w:hint="eastAsia" w:ascii="仿宋" w:hAnsi="仿宋" w:eastAsia="仿宋" w:cs="仿宋"/>
              <w:sz w:val="28"/>
              <w:szCs w:val="28"/>
            </w:rPr>
          </w:pPr>
          <w:r>
            <w:fldChar w:fldCharType="begin"/>
          </w:r>
          <w:r>
            <w:instrText xml:space="preserve"> HYPERLINK \l "_Toc32406" </w:instrText>
          </w:r>
          <w:r>
            <w:fldChar w:fldCharType="separate"/>
          </w:r>
          <w:r>
            <w:rPr>
              <w:rFonts w:hint="eastAsia" w:ascii="仿宋" w:hAnsi="仿宋" w:eastAsia="仿宋" w:cs="仿宋"/>
              <w:spacing w:val="6"/>
              <w:sz w:val="28"/>
              <w:szCs w:val="28"/>
            </w:rPr>
            <w:t>（四）项目效果情况分析（总分14分，得12.01分）</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339370F3">
          <w:pPr>
            <w:pStyle w:val="10"/>
            <w:tabs>
              <w:tab w:val="right" w:leader="dot" w:pos="8306"/>
            </w:tabs>
            <w:rPr>
              <w:rFonts w:hint="eastAsia" w:ascii="仿宋" w:hAnsi="仿宋" w:eastAsia="仿宋" w:cs="仿宋"/>
              <w:b/>
              <w:sz w:val="28"/>
              <w:szCs w:val="28"/>
            </w:rPr>
          </w:pPr>
          <w:r>
            <w:fldChar w:fldCharType="begin"/>
          </w:r>
          <w:r>
            <w:instrText xml:space="preserve"> HYPERLINK \l "_Toc898" </w:instrText>
          </w:r>
          <w:r>
            <w:fldChar w:fldCharType="separate"/>
          </w:r>
          <w:r>
            <w:rPr>
              <w:rFonts w:hint="eastAsia" w:ascii="仿宋" w:hAnsi="仿宋" w:eastAsia="仿宋" w:cs="仿宋"/>
              <w:b/>
              <w:sz w:val="28"/>
              <w:szCs w:val="28"/>
            </w:rPr>
            <w:t>六、存在问题</w:t>
          </w:r>
          <w:r>
            <w:rPr>
              <w:rFonts w:hint="eastAsia" w:ascii="仿宋" w:hAnsi="仿宋" w:eastAsia="仿宋" w:cs="仿宋"/>
              <w:b/>
              <w:sz w:val="28"/>
              <w:szCs w:val="28"/>
            </w:rPr>
            <w:tab/>
          </w:r>
          <w:r>
            <w:rPr>
              <w:rFonts w:hint="eastAsia" w:ascii="仿宋" w:hAnsi="仿宋" w:eastAsia="仿宋" w:cs="仿宋"/>
              <w:b/>
              <w:sz w:val="28"/>
              <w:szCs w:val="28"/>
            </w:rPr>
            <w:t>2</w:t>
          </w:r>
          <w:r>
            <w:rPr>
              <w:rFonts w:hint="eastAsia" w:ascii="仿宋" w:hAnsi="仿宋" w:eastAsia="仿宋" w:cs="仿宋"/>
              <w:b/>
              <w:sz w:val="28"/>
              <w:szCs w:val="28"/>
            </w:rPr>
            <w:fldChar w:fldCharType="end"/>
          </w:r>
          <w:r>
            <w:rPr>
              <w:rFonts w:hint="eastAsia" w:ascii="仿宋" w:hAnsi="仿宋" w:eastAsia="仿宋" w:cs="仿宋"/>
              <w:b/>
              <w:sz w:val="28"/>
              <w:szCs w:val="28"/>
            </w:rPr>
            <w:t>1</w:t>
          </w:r>
        </w:p>
        <w:p w14:paraId="3A60F76A">
          <w:pPr>
            <w:pStyle w:val="10"/>
            <w:tabs>
              <w:tab w:val="right" w:leader="dot" w:pos="8306"/>
            </w:tabs>
            <w:rPr>
              <w:rFonts w:hint="eastAsia" w:ascii="仿宋" w:hAnsi="仿宋" w:eastAsia="仿宋" w:cs="仿宋"/>
              <w:b/>
              <w:sz w:val="28"/>
              <w:szCs w:val="28"/>
            </w:rPr>
          </w:pPr>
          <w:r>
            <w:fldChar w:fldCharType="begin"/>
          </w:r>
          <w:r>
            <w:instrText xml:space="preserve"> HYPERLINK \l "_Toc19187" </w:instrText>
          </w:r>
          <w:r>
            <w:fldChar w:fldCharType="separate"/>
          </w:r>
          <w:r>
            <w:rPr>
              <w:rFonts w:hint="eastAsia" w:ascii="仿宋" w:hAnsi="仿宋" w:eastAsia="仿宋" w:cs="仿宋"/>
              <w:b/>
              <w:sz w:val="28"/>
              <w:szCs w:val="28"/>
            </w:rPr>
            <w:t>七、相关建议</w:t>
          </w:r>
          <w:r>
            <w:rPr>
              <w:rFonts w:hint="eastAsia" w:ascii="仿宋" w:hAnsi="仿宋" w:eastAsia="仿宋" w:cs="仿宋"/>
              <w:b/>
              <w:sz w:val="28"/>
              <w:szCs w:val="28"/>
            </w:rPr>
            <w:tab/>
          </w:r>
          <w:r>
            <w:rPr>
              <w:rFonts w:hint="eastAsia" w:ascii="仿宋" w:hAnsi="仿宋" w:eastAsia="仿宋" w:cs="仿宋"/>
              <w:b/>
              <w:sz w:val="28"/>
              <w:szCs w:val="28"/>
            </w:rPr>
            <w:t>2</w:t>
          </w:r>
          <w:r>
            <w:rPr>
              <w:rFonts w:hint="eastAsia" w:ascii="仿宋" w:hAnsi="仿宋" w:eastAsia="仿宋" w:cs="仿宋"/>
              <w:b/>
              <w:sz w:val="28"/>
              <w:szCs w:val="28"/>
            </w:rPr>
            <w:fldChar w:fldCharType="end"/>
          </w:r>
          <w:r>
            <w:rPr>
              <w:rFonts w:hint="eastAsia" w:ascii="仿宋" w:hAnsi="仿宋" w:eastAsia="仿宋" w:cs="仿宋"/>
              <w:b/>
              <w:sz w:val="28"/>
              <w:szCs w:val="28"/>
            </w:rPr>
            <w:t>1</w:t>
          </w:r>
        </w:p>
        <w:p w14:paraId="35006EE2">
          <w:pPr>
            <w:pStyle w:val="10"/>
            <w:tabs>
              <w:tab w:val="right" w:leader="dot" w:pos="8306"/>
            </w:tabs>
            <w:rPr>
              <w:rFonts w:hint="eastAsia" w:ascii="仿宋" w:hAnsi="仿宋" w:eastAsia="仿宋" w:cs="仿宋"/>
              <w:b/>
              <w:sz w:val="28"/>
              <w:szCs w:val="28"/>
            </w:rPr>
          </w:pPr>
          <w:r>
            <w:fldChar w:fldCharType="begin"/>
          </w:r>
          <w:r>
            <w:instrText xml:space="preserve"> HYPERLINK \l "_Toc2868" </w:instrText>
          </w:r>
          <w:r>
            <w:fldChar w:fldCharType="separate"/>
          </w:r>
          <w:r>
            <w:rPr>
              <w:rFonts w:hint="eastAsia" w:ascii="仿宋" w:hAnsi="仿宋" w:eastAsia="仿宋" w:cs="仿宋"/>
              <w:b/>
              <w:sz w:val="28"/>
              <w:szCs w:val="28"/>
            </w:rPr>
            <w:t>八、绩效评价结果应用建议</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_Toc2868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CAA919E">
          <w:pPr>
            <w:pStyle w:val="10"/>
            <w:tabs>
              <w:tab w:val="right" w:leader="dot" w:pos="8306"/>
            </w:tabs>
            <w:rPr>
              <w:rFonts w:hint="eastAsia" w:ascii="仿宋" w:hAnsi="仿宋" w:eastAsia="仿宋" w:cs="仿宋"/>
              <w:b/>
              <w:sz w:val="32"/>
              <w:szCs w:val="32"/>
            </w:rPr>
          </w:pPr>
          <w:r>
            <w:fldChar w:fldCharType="begin"/>
          </w:r>
          <w:r>
            <w:instrText xml:space="preserve"> HYPERLINK \l "_Toc31529" </w:instrText>
          </w:r>
          <w:r>
            <w:fldChar w:fldCharType="separate"/>
          </w:r>
          <w:r>
            <w:rPr>
              <w:rFonts w:hint="eastAsia" w:ascii="仿宋" w:hAnsi="仿宋" w:eastAsia="仿宋" w:cs="仿宋"/>
              <w:b/>
              <w:sz w:val="28"/>
              <w:szCs w:val="28"/>
            </w:rPr>
            <w:t>九、特别说明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_Toc31529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6A1391B">
          <w:r>
            <w:rPr>
              <w:b/>
            </w:rPr>
            <w:fldChar w:fldCharType="end"/>
          </w:r>
        </w:p>
      </w:sdtContent>
    </w:sdt>
    <w:p w14:paraId="5218B16D">
      <w:pPr>
        <w:spacing w:line="600" w:lineRule="exact"/>
        <w:jc w:val="center"/>
        <w:rPr>
          <w:rFonts w:hint="eastAsia" w:ascii="宋体" w:hAnsi="宋体" w:cs="宋体"/>
          <w:bCs/>
          <w:sz w:val="48"/>
          <w:szCs w:val="48"/>
        </w:rPr>
      </w:pPr>
      <w:r>
        <w:rPr>
          <w:rFonts w:hint="eastAsia" w:ascii="宋体" w:hAnsi="宋体" w:cs="宋体"/>
          <w:bCs/>
          <w:sz w:val="48"/>
          <w:szCs w:val="48"/>
        </w:rPr>
        <w:t xml:space="preserve"> </w:t>
      </w:r>
      <w:bookmarkStart w:id="8" w:name="_Toc16350"/>
      <w:r>
        <w:rPr>
          <w:rFonts w:hint="eastAsia" w:ascii="宋体" w:hAnsi="宋体" w:cs="宋体"/>
          <w:bCs/>
          <w:sz w:val="48"/>
          <w:szCs w:val="48"/>
        </w:rPr>
        <w:t>重庆企望会计师事务所（普通合伙）</w:t>
      </w:r>
      <w:bookmarkEnd w:id="8"/>
    </w:p>
    <w:p w14:paraId="185B7CAA">
      <w:pPr>
        <w:spacing w:line="600" w:lineRule="exact"/>
        <w:jc w:val="center"/>
        <w:rPr>
          <w:rFonts w:hint="eastAsia" w:ascii="宋体" w:hAnsi="宋体" w:cs="宋体"/>
          <w:bCs/>
          <w:sz w:val="32"/>
          <w:szCs w:val="32"/>
        </w:rPr>
      </w:pPr>
      <w:r>
        <w:rPr>
          <w:rFonts w:hint="eastAsia" w:ascii="宋体" w:hAnsi="宋体" w:cs="宋体"/>
          <w:bCs/>
          <w:sz w:val="32"/>
          <w:szCs w:val="32"/>
        </w:rPr>
        <w:t>ChongqingQiwangAccountingFirm(generalpartnership)</w:t>
      </w:r>
    </w:p>
    <w:p w14:paraId="08CA45FA">
      <w:pPr>
        <w:spacing w:before="312" w:beforeLines="100" w:line="460" w:lineRule="exact"/>
        <w:jc w:val="center"/>
        <w:rPr>
          <w:rFonts w:hint="eastAsia" w:ascii="宋体" w:hAnsi="宋体" w:eastAsia="宋体"/>
          <w:sz w:val="21"/>
        </w:rPr>
      </w:pPr>
      <w:r>
        <w:rPr>
          <w:rFonts w:hint="eastAsia" w:ascii="宋体" w:hAnsi="宋体" w:eastAsia="宋体"/>
          <w:sz w:val="21"/>
        </w:rPr>
        <w:t>企望专审字【2024】第259号</w:t>
      </w:r>
    </w:p>
    <w:p w14:paraId="52EB2E7C">
      <w:pPr>
        <w:spacing w:line="360" w:lineRule="auto"/>
        <w:jc w:val="center"/>
        <w:rPr>
          <w:rFonts w:hint="eastAsia" w:ascii="宋体" w:hAnsi="宋体" w:cs="宋体"/>
          <w:b/>
          <w:bCs/>
          <w:sz w:val="32"/>
          <w:szCs w:val="32"/>
        </w:rPr>
      </w:pPr>
      <w:r>
        <w:rPr>
          <w:rFonts w:ascii="宋体" w:hAnsi="宋体" w:cs="宋体"/>
          <w:sz w:val="36"/>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170180</wp:posOffset>
                </wp:positionV>
                <wp:extent cx="5661660" cy="22225"/>
                <wp:effectExtent l="0" t="10795" r="2540" b="177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61965" cy="21945"/>
                        </a:xfrm>
                        <a:prstGeom prst="line">
                          <a:avLst/>
                        </a:prstGeom>
                        <a:noFill/>
                        <a:ln w="22225" cmpd="thinThick">
                          <a:solidFill>
                            <a:srgbClr val="000000"/>
                          </a:solidFill>
                          <a:round/>
                        </a:ln>
                        <a:effectLst/>
                      </wps:spPr>
                      <wps:bodyPr/>
                    </wps:wsp>
                  </a:graphicData>
                </a:graphic>
              </wp:anchor>
            </w:drawing>
          </mc:Choice>
          <mc:Fallback>
            <w:pict>
              <v:line id="_x0000_s1026" o:spid="_x0000_s1026" o:spt="20" style="position:absolute;left:0pt;flip:y;margin-left:-0.4pt;margin-top:13.4pt;height:1.75pt;width:445.8pt;z-index:251659264;mso-width-relative:page;mso-height-relative:page;" filled="f" stroked="t" coordsize="21600,21600" o:gfxdata="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iPTN/UAAAABwEAAA8AAAAAAAAAAQAgAAAAIgAAAGRycy9kb3ducmV2Lnht&#10;bFBLAQIUABQAAAAIAIdO4kAY+qJq/QEAANgDAAAOAAAAAAAAAAEAIAAAACMBAABkcnMvZTJvRG9j&#10;LnhtbFBLBQYAAAAABgAGAFkBAACSBQAAAAA=&#10;">
                <v:fill on="f" focussize="0,0"/>
                <v:stroke weight="1.75pt" color="#000000" linestyle="thinThick" joinstyle="round"/>
                <v:imagedata o:title=""/>
                <o:lock v:ext="edit" aspectratio="f"/>
              </v:line>
            </w:pict>
          </mc:Fallback>
        </mc:AlternateContent>
      </w:r>
    </w:p>
    <w:p w14:paraId="23631A66">
      <w:pPr>
        <w:pStyle w:val="5"/>
        <w:tabs>
          <w:tab w:val="right" w:leader="dot" w:pos="8302"/>
        </w:tabs>
        <w:spacing w:line="560" w:lineRule="exact"/>
        <w:ind w:firstLine="720" w:firstLineChars="200"/>
        <w:jc w:val="center"/>
        <w:rPr>
          <w:rFonts w:hint="eastAsia" w:ascii="方正小标宋简体" w:hAnsi="黑体" w:eastAsia="方正小标宋简体" w:cs="宋体"/>
          <w:sz w:val="36"/>
          <w:szCs w:val="36"/>
        </w:rPr>
      </w:pPr>
      <w:r>
        <w:rPr>
          <w:rFonts w:hint="eastAsia" w:ascii="方正小标宋简体" w:hAnsi="黑体" w:eastAsia="方正小标宋简体" w:cs="宋体"/>
          <w:sz w:val="36"/>
          <w:szCs w:val="36"/>
        </w:rPr>
        <w:t>2023年巫山县老少边及欠发达地区县级</w:t>
      </w:r>
    </w:p>
    <w:p w14:paraId="2BF87C3E">
      <w:pPr>
        <w:pStyle w:val="5"/>
        <w:tabs>
          <w:tab w:val="right" w:leader="dot" w:pos="8302"/>
        </w:tabs>
        <w:spacing w:line="560" w:lineRule="exact"/>
        <w:ind w:firstLine="720" w:firstLineChars="200"/>
        <w:jc w:val="center"/>
        <w:rPr>
          <w:rFonts w:ascii="Calibri" w:hAnsi="Calibri"/>
          <w:sz w:val="18"/>
          <w:szCs w:val="20"/>
        </w:rPr>
      </w:pPr>
      <w:r>
        <w:rPr>
          <w:rFonts w:hint="eastAsia" w:ascii="方正小标宋简体" w:hAnsi="黑体" w:eastAsia="方正小标宋简体" w:cs="宋体"/>
          <w:sz w:val="36"/>
          <w:szCs w:val="36"/>
        </w:rPr>
        <w:t>应急广播体系建设项目绩效评价报告</w:t>
      </w:r>
    </w:p>
    <w:p w14:paraId="76C33169">
      <w:pPr>
        <w:spacing w:line="560" w:lineRule="exact"/>
        <w:rPr>
          <w:rFonts w:ascii="仿宋_GB2312" w:hAnsi="Calibri"/>
          <w:sz w:val="32"/>
          <w:szCs w:val="32"/>
        </w:rPr>
      </w:pPr>
      <w:r>
        <w:rPr>
          <w:rFonts w:hint="eastAsia" w:ascii="仿宋_GB2312" w:hAnsi="Calibri"/>
          <w:sz w:val="32"/>
          <w:szCs w:val="32"/>
        </w:rPr>
        <w:t>巫山县财政局：</w:t>
      </w:r>
    </w:p>
    <w:p w14:paraId="394B6FA6">
      <w:pPr>
        <w:spacing w:line="560" w:lineRule="exact"/>
        <w:ind w:firstLine="640" w:firstLineChars="200"/>
        <w:rPr>
          <w:rFonts w:ascii="仿宋_GB2312" w:hAnsi="Calibri"/>
          <w:sz w:val="32"/>
          <w:szCs w:val="32"/>
        </w:rPr>
      </w:pPr>
      <w:r>
        <w:rPr>
          <w:rFonts w:hint="eastAsia" w:ascii="仿宋_GB2312" w:hAnsi="Calibri"/>
          <w:sz w:val="32"/>
          <w:szCs w:val="32"/>
        </w:rPr>
        <w:t>我们接受贵局的委托，对2023年巫山县老少边及欠发达地区县级应急广播体系建设项目（以下简称“该项目”或“本项目”）进行了绩效评价。我们依据《项目支出绩效评价管理办法》（财预〔2020〕10 号）、《财政部关于委托第三方机构参与预算绩效管理的指导意见》（ 预算司〔2021〕6 号）、《重庆市财政局关于印发&lt;重庆市市级政策和项目预算绩效管理办法(试行)&gt;的通知》（渝财绩〔2019〕19号）、《重庆市财政局关于印发&lt;重庆市市级项目支出绩效评价操作指引&gt;的通知》（渝财绩〔2023〕7 号）等文件的规定开展绩效评价。在绩效评价过程中，我们通过实地查看、座谈、查阅资料、询问等多种方式，收集、汇总、整理了项目相关的业务和财务资料，并对照评价指标和标准进行了评议和打分，形成了绩效评价报告。现将绩效评价情况报告如下：</w:t>
      </w:r>
    </w:p>
    <w:p w14:paraId="1E06F95D">
      <w:pPr>
        <w:spacing w:line="560" w:lineRule="exact"/>
        <w:ind w:firstLine="640" w:firstLineChars="200"/>
        <w:outlineLvl w:val="0"/>
        <w:rPr>
          <w:rFonts w:hint="eastAsia" w:ascii="黑体" w:hAnsi="黑体" w:eastAsia="黑体"/>
          <w:sz w:val="32"/>
          <w:szCs w:val="32"/>
        </w:rPr>
      </w:pPr>
      <w:bookmarkStart w:id="9" w:name="_Toc24690"/>
      <w:r>
        <w:rPr>
          <w:rFonts w:hint="eastAsia" w:ascii="黑体" w:hAnsi="黑体" w:eastAsia="黑体"/>
          <w:sz w:val="32"/>
          <w:szCs w:val="32"/>
        </w:rPr>
        <w:t>一、绩效评价目的</w:t>
      </w:r>
      <w:bookmarkEnd w:id="9"/>
    </w:p>
    <w:p w14:paraId="0C993842">
      <w:pPr>
        <w:spacing w:line="560" w:lineRule="exact"/>
        <w:ind w:firstLine="640" w:firstLineChars="200"/>
        <w:rPr>
          <w:rFonts w:hint="eastAsia" w:ascii="仿宋_GB2312" w:hAnsi="黑体"/>
          <w:sz w:val="32"/>
          <w:szCs w:val="32"/>
        </w:rPr>
      </w:pPr>
      <w:r>
        <w:rPr>
          <w:rFonts w:hint="eastAsia" w:ascii="仿宋_GB2312" w:hAnsi="黑体"/>
          <w:sz w:val="32"/>
          <w:szCs w:val="32"/>
        </w:rPr>
        <w:t>对该项目开展绩效评价工作，是全面实施预算绩效管理的重要内容，是优化巫山县财政资源配置、提升公共服务质量的重要举措。通过绩效评价的方式，力求从数量、质量、时效、成本、效果等方面，及时掌握项目资金使用情况，客观评价项目实施成效，为相关部门决策、管理提供参考依据；推动建立以绩效评价结果为导向的财政资金分配与管理制度，提升财政资金科学化、精细化管理水平；同时通过查找问题，分析原因，总结经验教训，为以后年度相关预算安排提供重要依据。</w:t>
      </w:r>
    </w:p>
    <w:p w14:paraId="6D0FFCCA">
      <w:pPr>
        <w:spacing w:line="560" w:lineRule="exact"/>
        <w:ind w:firstLine="640" w:firstLineChars="200"/>
        <w:outlineLvl w:val="0"/>
        <w:rPr>
          <w:rFonts w:hint="eastAsia" w:ascii="黑体" w:hAnsi="黑体" w:eastAsia="黑体"/>
          <w:sz w:val="32"/>
          <w:szCs w:val="32"/>
        </w:rPr>
      </w:pPr>
      <w:bookmarkStart w:id="10" w:name="_Toc14386"/>
      <w:r>
        <w:rPr>
          <w:rFonts w:hint="eastAsia" w:ascii="黑体" w:hAnsi="黑体" w:eastAsia="黑体"/>
          <w:sz w:val="32"/>
          <w:szCs w:val="32"/>
        </w:rPr>
        <w:t>二、基本情况</w:t>
      </w:r>
      <w:bookmarkEnd w:id="10"/>
    </w:p>
    <w:p w14:paraId="1961AFCC">
      <w:pPr>
        <w:spacing w:line="560" w:lineRule="exact"/>
        <w:ind w:firstLine="900" w:firstLineChars="300"/>
        <w:rPr>
          <w:rFonts w:ascii="楷体_GB2312" w:eastAsia="楷体_GB2312"/>
          <w:spacing w:val="6"/>
          <w:sz w:val="32"/>
          <w:szCs w:val="32"/>
        </w:rPr>
      </w:pPr>
      <w:r>
        <w:fldChar w:fldCharType="begin"/>
      </w:r>
      <w:r>
        <w:instrText xml:space="preserve"> HYPERLINK \l "_Toc434746187" </w:instrText>
      </w:r>
      <w:r>
        <w:fldChar w:fldCharType="separate"/>
      </w:r>
      <w:r>
        <w:rPr>
          <w:rFonts w:hint="eastAsia" w:ascii="楷体_GB2312" w:eastAsia="楷体_GB2312"/>
          <w:spacing w:val="6"/>
          <w:sz w:val="32"/>
          <w:szCs w:val="32"/>
        </w:rPr>
        <w:t>（一）项目概况</w:t>
      </w:r>
      <w:r>
        <w:rPr>
          <w:rFonts w:hint="eastAsia" w:ascii="楷体_GB2312" w:eastAsia="楷体_GB2312"/>
          <w:spacing w:val="6"/>
          <w:sz w:val="32"/>
          <w:szCs w:val="32"/>
        </w:rPr>
        <w:fldChar w:fldCharType="end"/>
      </w:r>
    </w:p>
    <w:p w14:paraId="53A1D37D">
      <w:pPr>
        <w:spacing w:line="560" w:lineRule="exact"/>
        <w:ind w:firstLine="664" w:firstLineChars="200"/>
        <w:outlineLvl w:val="1"/>
        <w:rPr>
          <w:rFonts w:hint="eastAsia" w:ascii="仿宋_GB2312" w:hAnsi="华文仿宋" w:cs="宋体"/>
          <w:bCs/>
          <w:spacing w:val="6"/>
          <w:sz w:val="32"/>
          <w:szCs w:val="32"/>
        </w:rPr>
      </w:pPr>
      <w:bookmarkStart w:id="11" w:name="_Toc1069"/>
      <w:r>
        <w:rPr>
          <w:rFonts w:hint="eastAsia" w:ascii="仿宋_GB2312" w:hAnsi="华文仿宋" w:cs="宋体"/>
          <w:bCs/>
          <w:spacing w:val="6"/>
          <w:sz w:val="32"/>
          <w:szCs w:val="32"/>
        </w:rPr>
        <w:t>1.项目实施单位基本情况</w:t>
      </w:r>
      <w:bookmarkEnd w:id="11"/>
    </w:p>
    <w:p w14:paraId="023B4CF6">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巫山县文化和旅游发展委员会为本项目的实施单位。巫山县文化和旅游发展委员会（以下简称县文化旅游委）是县政府工作部门，为正科级。设置内设机构7个，分别为：办公室、规划建设管理科、产业发展科、宣传营销科、公共文化服务科、行业管理科、体育发展科。设置事业机构7个，分别为：巫山县文化市场综合行政执法支队、巫山县图书馆、巫山县文物管理所、巫山县文化馆、巫山县文化和旅游信息中心、巫山县群众文化活动中心、巫山县体育管理中心。</w:t>
      </w:r>
    </w:p>
    <w:p w14:paraId="38043815">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县文化旅游委主要职责：</w:t>
      </w:r>
    </w:p>
    <w:p w14:paraId="14E858BF">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（1）贯彻执行党和国家宣传、文化和旅游、广播电视、 体育、文物和博物馆工作的方针政策和法律法规；拟订全县文化和旅游、广播电视、体育、文物和博物馆政策措施并组织实施。</w:t>
      </w:r>
    </w:p>
    <w:p w14:paraId="30A15D12">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（2）统筹推进全县文化和旅游、广播电视、体育、文物和博物馆事业发展，拟订文化和旅游、广播电视、体育、文物和博物馆事业发展规划并组织实施：推进文化和旅游、体育管理体制机制改革创新。</w:t>
      </w:r>
    </w:p>
    <w:p w14:paraId="397C5288">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（3）负责全县文化和旅游、体育领域项目策划、规划和方案设计。</w:t>
      </w:r>
    </w:p>
    <w:p w14:paraId="717700D2">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（4）负责制订全县文化和旅游市场开发计划，拟订全县文化旅游宣传营销方案并组织实施，推动文化旅游宣传营销政策改革。</w:t>
      </w:r>
    </w:p>
    <w:p w14:paraId="7D677B2F">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（5）负责组织全县智慧旅游综合信息控制、游客综合服务旅游电子商务等平台建设，提升巫山旅游现代化水平。</w:t>
      </w:r>
    </w:p>
    <w:p w14:paraId="05EDC6DE">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（6）负责管理全县文化和旅游、体育活动，承办全县重大文化和旅游、体育节会活动，指导乡镇开展文化和旅游、体育活动。</w:t>
      </w:r>
    </w:p>
    <w:p w14:paraId="0DF2F1D1">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（7）负责制订文化和旅游、体育行业管理标准，推进文化和旅游、体育行业标准体系建设和诚信体系建设，促进服务质量提升。</w:t>
      </w:r>
    </w:p>
    <w:p w14:paraId="3C33971F">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（8）负责统筹推进“旅游+”融合发展，培养壮大融合发展生态。</w:t>
      </w:r>
    </w:p>
    <w:p w14:paraId="223962F2">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（9）负责管理全县文艺事业，指导艺术创作生产，扶持体现社会主义核心价值观、具有导向性代表性示范性的文艺作品，推动各门类艺术、各艺术品种发展。</w:t>
      </w:r>
    </w:p>
    <w:p w14:paraId="0E9599DC">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（10）负责全县公共文化事业、公共旅游服务事业、公共体育事业发展，构建全县文化、旅游、体育公共服务体系建设。</w:t>
      </w:r>
    </w:p>
    <w:p w14:paraId="1C3C4C63">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（11）负责全县非物质文化遗产管理工作，组织实施非物质文化遗产保护和优秀民族文化的保护、传承、普及、弘扬和振兴。</w:t>
      </w:r>
    </w:p>
    <w:p w14:paraId="504B4609">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（12）负责全县文物和博物馆管理，推动文博事业发展。</w:t>
      </w:r>
    </w:p>
    <w:p w14:paraId="72CA9977">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（13）负责对全县各类广播电视机构的行业监督管理。</w:t>
      </w:r>
    </w:p>
    <w:p w14:paraId="616E4E09">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14）负责推行全民健身计划，指导并开展群众性体育活动，实施国家体育锻炼标准，推动国民体质监测和社会体育指导工作队伍制度建设;统筹规划全县竞技体育发展，设置全县体育运动项目，指导协调体育训练和体育竞技;加强裁判员、教练员运动员、社会体育指导员培训和管理;指导传统项目和青少年体育俱乐部的建设，推动青少年体育工作。</w:t>
      </w:r>
    </w:p>
    <w:p w14:paraId="5FB48702">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（15）拟订文化和旅游、体育产业政策和发展规划并组织实施。</w:t>
      </w:r>
    </w:p>
    <w:p w14:paraId="2BAC4C77">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（16）拟订全县文化和旅游、体育行业人才队伍建设规划并组织实施，负责从业人员职业资格管理。</w:t>
      </w:r>
    </w:p>
    <w:p w14:paraId="0BFE4AEC">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（17）负责机关党建工作，指导下属单位、行业企业及行业协会党建工作。</w:t>
      </w:r>
    </w:p>
    <w:p w14:paraId="358D0378">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（18）在职责范围内依法对本行业、本领域的安全生产和生态环境保护实施监督管理，并承担相应监管责任。</w:t>
      </w:r>
    </w:p>
    <w:p w14:paraId="7DCAF439">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（19）完成县委、县政府交办的其他任务。</w:t>
      </w:r>
    </w:p>
    <w:p w14:paraId="6E08228B">
      <w:pPr>
        <w:spacing w:line="560" w:lineRule="exact"/>
        <w:ind w:firstLine="664" w:firstLineChars="200"/>
        <w:outlineLvl w:val="1"/>
        <w:rPr>
          <w:rFonts w:hint="eastAsia" w:ascii="仿宋_GB2312" w:hAnsi="华文仿宋" w:cs="宋体"/>
          <w:bCs/>
          <w:spacing w:val="6"/>
          <w:sz w:val="32"/>
          <w:szCs w:val="32"/>
        </w:rPr>
      </w:pPr>
      <w:bookmarkStart w:id="12" w:name="_Toc26490"/>
      <w:r>
        <w:rPr>
          <w:rFonts w:hint="eastAsia" w:ascii="仿宋_GB2312" w:hAnsi="华文仿宋" w:cs="宋体"/>
          <w:bCs/>
          <w:spacing w:val="6"/>
          <w:sz w:val="32"/>
          <w:szCs w:val="32"/>
        </w:rPr>
        <w:t>2.项目基本情况</w:t>
      </w:r>
      <w:bookmarkEnd w:id="12"/>
    </w:p>
    <w:p w14:paraId="492227CE">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县级应急广播体系是全国应急广播体系的重要基础，是基层应急广播公共服务的关键节点，建设好县级应急广播体系对基层公共文化服务、拓展宣传舆论阵地、提升传播力和影响力具有重要意义。为加快推进巫山县应急广播体系建设，进一步提高政府应急管理能力和公共服务水平，根据《重庆市文化和旅游发展委员会、重庆市财政局关于实施老少边及欠发达地区县级应急广播体系建设有关事项的通知》（渝文旅发〔2021〕133号）、《重庆市文化和旅游发展委员会关于印发重庆市2023年老少边及欠发达地区县级应急广播体系建设工程实施方案》（渝文旅发〔2021〕55号）等文件要求。</w:t>
      </w:r>
    </w:p>
    <w:p w14:paraId="3E5DE6AC">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巫山县辖区面积2954平方公里，辖24个乡镇、305个行政村、1932个社组，经过2021年和2023年两次建设，现已建成县级应急广播平台（指挥中心）1个、乡镇（街道）分控平台26个、村级（社区）分控平台340套，气象局、应急管理局横向部门应急广播平台2套、监播联动平台一套；实施音柱建设504台、多模收扩机建设2530台、监控150台；共实施终端建设3034只，喇叭5060只。基本实现全县24个乡镇、2个街道办事处、340个行政村居全覆盖，建成了市县乡村四级联动、上下贯通、可管可控、综合覆盖的应急广播系统。</w:t>
      </w:r>
    </w:p>
    <w:p w14:paraId="33673059">
      <w:pPr>
        <w:spacing w:line="560" w:lineRule="exact"/>
        <w:ind w:firstLine="332" w:firstLineChars="100"/>
        <w:rPr>
          <w:rFonts w:ascii="楷体_GB2312" w:eastAsia="楷体_GB2312"/>
          <w:spacing w:val="6"/>
          <w:sz w:val="32"/>
          <w:szCs w:val="32"/>
        </w:rPr>
      </w:pPr>
      <w:r>
        <w:rPr>
          <w:rFonts w:hint="eastAsia" w:ascii="楷体_GB2312" w:eastAsia="楷体_GB2312"/>
          <w:spacing w:val="6"/>
          <w:sz w:val="32"/>
          <w:szCs w:val="32"/>
        </w:rPr>
        <w:t>（二）</w:t>
      </w:r>
      <w:r>
        <w:fldChar w:fldCharType="begin"/>
      </w:r>
      <w:r>
        <w:instrText xml:space="preserve"> HYPERLINK \l "_Toc434746188" </w:instrText>
      </w:r>
      <w:r>
        <w:fldChar w:fldCharType="separate"/>
      </w:r>
      <w:r>
        <w:rPr>
          <w:rFonts w:hint="eastAsia" w:ascii="楷体_GB2312" w:eastAsia="楷体_GB2312"/>
          <w:spacing w:val="6"/>
          <w:sz w:val="32"/>
          <w:szCs w:val="32"/>
        </w:rPr>
        <w:t>项目绩效目标</w:t>
      </w:r>
      <w:r>
        <w:rPr>
          <w:rFonts w:hint="eastAsia" w:ascii="楷体_GB2312" w:eastAsia="楷体_GB2312"/>
          <w:spacing w:val="6"/>
          <w:sz w:val="32"/>
          <w:szCs w:val="32"/>
        </w:rPr>
        <w:fldChar w:fldCharType="end"/>
      </w:r>
      <w:r>
        <w:rPr>
          <w:rFonts w:hint="eastAsia" w:ascii="楷体_GB2312" w:eastAsia="楷体_GB2312"/>
          <w:spacing w:val="6"/>
          <w:sz w:val="32"/>
          <w:szCs w:val="32"/>
        </w:rPr>
        <w:t>设立情况</w:t>
      </w:r>
    </w:p>
    <w:p w14:paraId="18B69456">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1.年度总体目标：被评价单位未制定相关目标。</w:t>
      </w:r>
    </w:p>
    <w:p w14:paraId="2F655E17">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2.绩效指标情况：被评价单位未制定相关绩效指标。</w:t>
      </w:r>
    </w:p>
    <w:p w14:paraId="5ED770B2">
      <w:pPr>
        <w:spacing w:line="560" w:lineRule="exact"/>
        <w:ind w:firstLine="332" w:firstLineChars="100"/>
        <w:rPr>
          <w:rFonts w:ascii="楷体_GB2312" w:eastAsia="楷体_GB2312"/>
          <w:spacing w:val="6"/>
          <w:sz w:val="32"/>
          <w:szCs w:val="32"/>
        </w:rPr>
      </w:pPr>
      <w:r>
        <w:rPr>
          <w:rFonts w:hint="eastAsia" w:ascii="楷体_GB2312" w:eastAsia="楷体_GB2312"/>
          <w:spacing w:val="6"/>
          <w:sz w:val="32"/>
          <w:szCs w:val="32"/>
        </w:rPr>
        <w:t>（三）项目资金申报及拨付情况</w:t>
      </w:r>
    </w:p>
    <w:p w14:paraId="0A0B3C6D">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2022年11月30日，重庆市财政局《关于〈提前下达2023年中央补助地方公共文化服务体系建设专项资金预算〉的通知》（渝财教〔2022〕180号），下达财政专项补助资金462.00万元。截至2024年6月30日，共支出资金413.50万元。预算资金主要用于：县级应急广播体系建设。</w:t>
      </w:r>
    </w:p>
    <w:p w14:paraId="6C19DA51">
      <w:pPr>
        <w:spacing w:line="560" w:lineRule="exact"/>
        <w:ind w:firstLine="600" w:firstLineChars="200"/>
        <w:rPr>
          <w:rFonts w:ascii="楷体_GB2312" w:eastAsia="楷体_GB2312"/>
          <w:spacing w:val="6"/>
          <w:sz w:val="32"/>
          <w:szCs w:val="32"/>
        </w:rPr>
      </w:pPr>
      <w:r>
        <w:fldChar w:fldCharType="begin"/>
      </w:r>
      <w:r>
        <w:instrText xml:space="preserve"> HYPERLINK \l "_Toc434746189" </w:instrText>
      </w:r>
      <w:r>
        <w:fldChar w:fldCharType="separate"/>
      </w:r>
      <w:r>
        <w:rPr>
          <w:rFonts w:hint="eastAsia" w:ascii="楷体_GB2312" w:eastAsia="楷体_GB2312"/>
          <w:spacing w:val="6"/>
          <w:sz w:val="32"/>
          <w:szCs w:val="32"/>
        </w:rPr>
        <w:t>（四）项目实施内容及进展情况</w:t>
      </w:r>
      <w:r>
        <w:rPr>
          <w:rFonts w:hint="eastAsia" w:ascii="楷体_GB2312" w:eastAsia="楷体_GB2312"/>
          <w:spacing w:val="6"/>
          <w:sz w:val="32"/>
          <w:szCs w:val="32"/>
        </w:rPr>
        <w:fldChar w:fldCharType="end"/>
      </w:r>
    </w:p>
    <w:p w14:paraId="36D94286">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2022年11月30日，重庆市财政局《关于〈提前下达2023年中央补助地方公共文化服务体系建设专项资金预算〉的通知》（渝财教〔2022〕180号），下达财政专项补助资金462.00万元。截至2024年6月30日，共支出资金413.50万元。预算资金主要用于：县级应急广播体系建设。</w:t>
      </w:r>
    </w:p>
    <w:p w14:paraId="47D9D423">
      <w:pPr>
        <w:spacing w:line="560" w:lineRule="exact"/>
        <w:ind w:firstLine="630" w:firstLineChars="190"/>
        <w:outlineLvl w:val="0"/>
        <w:rPr>
          <w:rFonts w:hint="eastAsia" w:ascii="黑体" w:hAnsi="黑体" w:eastAsia="黑体"/>
          <w:spacing w:val="6"/>
          <w:sz w:val="32"/>
          <w:szCs w:val="32"/>
        </w:rPr>
      </w:pPr>
      <w:bookmarkStart w:id="13" w:name="_Toc25865"/>
      <w:r>
        <w:rPr>
          <w:rFonts w:hint="eastAsia" w:ascii="黑体" w:hAnsi="黑体" w:eastAsia="黑体"/>
          <w:spacing w:val="6"/>
          <w:sz w:val="32"/>
          <w:szCs w:val="32"/>
        </w:rPr>
        <w:t>三、绩效评价组织情况</w:t>
      </w:r>
      <w:bookmarkEnd w:id="13"/>
    </w:p>
    <w:p w14:paraId="0AAC2B2B">
      <w:pPr>
        <w:spacing w:line="560" w:lineRule="exact"/>
        <w:ind w:firstLine="630" w:firstLineChars="190"/>
        <w:outlineLvl w:val="1"/>
        <w:rPr>
          <w:rFonts w:ascii="楷体_GB2312" w:eastAsia="楷体_GB2312"/>
          <w:spacing w:val="6"/>
          <w:sz w:val="32"/>
          <w:szCs w:val="32"/>
        </w:rPr>
      </w:pPr>
      <w:bookmarkStart w:id="14" w:name="_Toc15973"/>
      <w:r>
        <w:rPr>
          <w:rFonts w:hint="eastAsia" w:ascii="楷体_GB2312" w:eastAsia="楷体_GB2312"/>
          <w:spacing w:val="6"/>
          <w:sz w:val="32"/>
          <w:szCs w:val="32"/>
        </w:rPr>
        <w:t>（一）绩效评价依据</w:t>
      </w:r>
      <w:bookmarkEnd w:id="14"/>
    </w:p>
    <w:p w14:paraId="0A00CC0B">
      <w:pPr>
        <w:spacing w:line="560" w:lineRule="exact"/>
        <w:ind w:firstLine="630" w:firstLineChars="190"/>
        <w:rPr>
          <w:rFonts w:ascii="仿宋_GB2312"/>
          <w:spacing w:val="6"/>
          <w:sz w:val="32"/>
          <w:szCs w:val="32"/>
        </w:rPr>
      </w:pPr>
      <w:r>
        <w:rPr>
          <w:rFonts w:hint="eastAsia" w:ascii="仿宋_GB2312"/>
          <w:spacing w:val="6"/>
          <w:sz w:val="32"/>
          <w:szCs w:val="32"/>
        </w:rPr>
        <w:t>1.中共中央、国务院《关于全面实施预算绩效管理的意见》（中发〔2018〕34号）；</w:t>
      </w:r>
    </w:p>
    <w:p w14:paraId="5BA0770B">
      <w:pPr>
        <w:spacing w:line="560" w:lineRule="exact"/>
        <w:ind w:firstLine="630" w:firstLineChars="190"/>
        <w:rPr>
          <w:rFonts w:ascii="仿宋_GB2312"/>
          <w:spacing w:val="6"/>
          <w:sz w:val="32"/>
          <w:szCs w:val="32"/>
        </w:rPr>
      </w:pPr>
      <w:r>
        <w:rPr>
          <w:rFonts w:hint="eastAsia" w:ascii="仿宋_GB2312"/>
          <w:spacing w:val="6"/>
          <w:sz w:val="32"/>
          <w:szCs w:val="32"/>
        </w:rPr>
        <w:t>2.财政部《关于印发〈项目支出绩效评价管理办法〉的通知》（财预〔2020〕10 号）；</w:t>
      </w:r>
    </w:p>
    <w:p w14:paraId="3603D1EA">
      <w:pPr>
        <w:spacing w:line="560" w:lineRule="exact"/>
        <w:ind w:firstLine="630" w:firstLineChars="190"/>
        <w:rPr>
          <w:rFonts w:ascii="仿宋_GB2312"/>
          <w:spacing w:val="6"/>
          <w:sz w:val="32"/>
          <w:szCs w:val="32"/>
        </w:rPr>
      </w:pPr>
      <w:r>
        <w:rPr>
          <w:rFonts w:hint="eastAsia" w:ascii="仿宋_GB2312"/>
          <w:spacing w:val="6"/>
          <w:sz w:val="32"/>
          <w:szCs w:val="32"/>
        </w:rPr>
        <w:t>3.财政部《关于委托第三方机构参与预算绩效管理的指导意见》（财预〔2021〕6号）；</w:t>
      </w:r>
    </w:p>
    <w:p w14:paraId="4B98CD95">
      <w:pPr>
        <w:spacing w:line="560" w:lineRule="exact"/>
        <w:ind w:firstLine="630" w:firstLineChars="190"/>
        <w:rPr>
          <w:rFonts w:ascii="仿宋_GB2312"/>
          <w:spacing w:val="6"/>
          <w:sz w:val="32"/>
          <w:szCs w:val="32"/>
        </w:rPr>
      </w:pPr>
      <w:r>
        <w:rPr>
          <w:rFonts w:hint="eastAsia" w:ascii="仿宋_GB2312"/>
          <w:spacing w:val="6"/>
          <w:sz w:val="32"/>
          <w:szCs w:val="32"/>
        </w:rPr>
        <w:t>4.《重庆市财政局关于印发&lt;重庆市市级政策和项目预算绩效管理办法(试行)&gt;的通知》（渝财绩〔2019〕19号）；</w:t>
      </w:r>
    </w:p>
    <w:p w14:paraId="4013A339">
      <w:pPr>
        <w:spacing w:line="560" w:lineRule="exact"/>
        <w:ind w:firstLine="630" w:firstLineChars="190"/>
        <w:rPr>
          <w:rFonts w:ascii="仿宋_GB2312"/>
          <w:spacing w:val="6"/>
          <w:sz w:val="32"/>
          <w:szCs w:val="32"/>
        </w:rPr>
      </w:pPr>
      <w:r>
        <w:rPr>
          <w:rFonts w:hint="eastAsia" w:ascii="仿宋_GB2312"/>
          <w:spacing w:val="6"/>
          <w:sz w:val="32"/>
          <w:szCs w:val="32"/>
        </w:rPr>
        <w:t>5.《重庆市财政局关于印发&lt;重庆市市级项目支出绩效评价操作指引&gt;的通知》（渝财绩〔2023〕7 号）；</w:t>
      </w:r>
    </w:p>
    <w:p w14:paraId="4C69903B">
      <w:pPr>
        <w:spacing w:line="560" w:lineRule="exact"/>
        <w:ind w:firstLine="630" w:firstLineChars="190"/>
        <w:rPr>
          <w:rFonts w:ascii="仿宋_GB2312"/>
          <w:spacing w:val="6"/>
          <w:sz w:val="32"/>
          <w:szCs w:val="32"/>
        </w:rPr>
      </w:pPr>
      <w:r>
        <w:rPr>
          <w:rFonts w:hint="eastAsia" w:ascii="仿宋_GB2312"/>
          <w:spacing w:val="6"/>
          <w:sz w:val="32"/>
          <w:szCs w:val="32"/>
        </w:rPr>
        <w:t>6.被评价单位提供的相关资料。</w:t>
      </w:r>
    </w:p>
    <w:p w14:paraId="08CF0F10">
      <w:pPr>
        <w:numPr>
          <w:ilvl w:val="0"/>
          <w:numId w:val="2"/>
        </w:numPr>
        <w:spacing w:line="560" w:lineRule="exact"/>
        <w:ind w:firstLine="630" w:firstLineChars="190"/>
        <w:outlineLvl w:val="1"/>
        <w:rPr>
          <w:rFonts w:ascii="楷体_GB2312" w:eastAsia="楷体_GB2312"/>
          <w:spacing w:val="6"/>
          <w:sz w:val="32"/>
          <w:szCs w:val="32"/>
        </w:rPr>
      </w:pPr>
      <w:bookmarkStart w:id="15" w:name="_Toc8931"/>
      <w:r>
        <w:rPr>
          <w:rFonts w:hint="eastAsia" w:ascii="楷体_GB2312" w:eastAsia="楷体_GB2312"/>
          <w:spacing w:val="6"/>
          <w:sz w:val="32"/>
          <w:szCs w:val="32"/>
        </w:rPr>
        <w:t>绩效评价工作程序</w:t>
      </w:r>
      <w:bookmarkEnd w:id="15"/>
    </w:p>
    <w:p w14:paraId="0A81944F">
      <w:pPr>
        <w:spacing w:line="560" w:lineRule="exact"/>
        <w:ind w:firstLine="664" w:firstLineChars="200"/>
        <w:rPr>
          <w:rFonts w:ascii="仿宋_GB2312"/>
          <w:spacing w:val="6"/>
          <w:sz w:val="32"/>
          <w:szCs w:val="32"/>
        </w:rPr>
      </w:pPr>
      <w:r>
        <w:rPr>
          <w:rFonts w:hint="eastAsia" w:ascii="仿宋_GB2312"/>
          <w:spacing w:val="6"/>
          <w:sz w:val="32"/>
          <w:szCs w:val="32"/>
        </w:rPr>
        <w:t>本次绩效评价主要包括前期准备、组织实施、分析评价、撰写与提交评价报告、归集档案五个阶段，共七个步骤：</w:t>
      </w:r>
    </w:p>
    <w:p w14:paraId="282356B8">
      <w:pPr>
        <w:spacing w:line="560" w:lineRule="exact"/>
        <w:ind w:firstLine="630" w:firstLineChars="190"/>
        <w:rPr>
          <w:rFonts w:ascii="仿宋_GB2312"/>
          <w:spacing w:val="6"/>
          <w:sz w:val="32"/>
          <w:szCs w:val="32"/>
        </w:rPr>
      </w:pPr>
      <w:r>
        <w:rPr>
          <w:rFonts w:hint="eastAsia" w:ascii="仿宋_GB2312"/>
          <w:spacing w:val="6"/>
          <w:sz w:val="32"/>
          <w:szCs w:val="32"/>
        </w:rPr>
        <w:t>第一步，成立评价工作小组，明确评价对象和范围及评价目的，充分考虑人员结构、业务能力素质等因素，工作组成员专业结构及业务能力必须满足项目评价工作需要。为了更独立、客观、公正、公平地完成评价工作，项目负责人及项目经理负责确定评价指标体系，通过对评价目的、原则、范围、内容和评价要求等方面的学习，充分熟悉评价指标、评价方法及评价标准，参与项目的前期调研、项目相关资料的收集、项目指标体系指标的设计、评价标准的选择、评分细则的制定，在参与评价报告撰写的同时，负责指标的核查取数工作并编制相应的评价工作底稿。</w:t>
      </w:r>
    </w:p>
    <w:p w14:paraId="6EC29746">
      <w:pPr>
        <w:spacing w:line="560" w:lineRule="exact"/>
        <w:ind w:firstLine="630" w:firstLineChars="190"/>
        <w:rPr>
          <w:rFonts w:ascii="仿宋_GB2312"/>
          <w:spacing w:val="6"/>
          <w:sz w:val="32"/>
          <w:szCs w:val="32"/>
        </w:rPr>
      </w:pPr>
      <w:r>
        <w:rPr>
          <w:rFonts w:hint="eastAsia" w:ascii="仿宋_GB2312"/>
          <w:spacing w:val="6"/>
          <w:sz w:val="32"/>
          <w:szCs w:val="32"/>
        </w:rPr>
        <w:t>第二步，在明确委托方要求的前提下，评价组搜集并分析相关法律法规、政策文件以及项目资料，评价人员需通过调研等方式充分了解被评价项目及相关单位业务情况，收集相关资料，充分了解项目立项、预算、实施内容、组织管理、绩效目标设置等内容，为编制评价方案奠定基础。</w:t>
      </w:r>
    </w:p>
    <w:p w14:paraId="3A324EBE">
      <w:pPr>
        <w:spacing w:line="560" w:lineRule="exact"/>
        <w:ind w:firstLine="630" w:firstLineChars="190"/>
        <w:rPr>
          <w:rFonts w:ascii="仿宋_GB2312"/>
          <w:spacing w:val="6"/>
          <w:sz w:val="32"/>
          <w:szCs w:val="32"/>
        </w:rPr>
      </w:pPr>
      <w:r>
        <w:rPr>
          <w:rFonts w:hint="eastAsia" w:ascii="仿宋_GB2312"/>
          <w:spacing w:val="6"/>
          <w:sz w:val="32"/>
          <w:szCs w:val="32"/>
        </w:rPr>
        <w:t>第三步，现场评价，评价机构依据该项目特点，组建评价小组到项目单位进行现场评价。召开进场会，听取情况介绍。由项目负责人及相关人员对项目进行总体介绍，主要包括项目绩效目标设定、完成程度、业务组织管理情况、资金管理情况、项目产出及效益等情况介绍。评价组对所掌握的有关信息进行分类、整理和初步分析，形成评价工作底稿。对该项目进行自评结果的总量及结构分析，发现存在的问题。</w:t>
      </w:r>
    </w:p>
    <w:p w14:paraId="3703A1AC">
      <w:pPr>
        <w:spacing w:line="560" w:lineRule="exact"/>
        <w:ind w:firstLine="630" w:firstLineChars="190"/>
        <w:rPr>
          <w:rFonts w:ascii="仿宋_GB2312"/>
          <w:spacing w:val="6"/>
          <w:sz w:val="32"/>
          <w:szCs w:val="32"/>
        </w:rPr>
      </w:pPr>
      <w:r>
        <w:rPr>
          <w:rFonts w:hint="eastAsia" w:ascii="仿宋_GB2312"/>
          <w:spacing w:val="6"/>
          <w:sz w:val="32"/>
          <w:szCs w:val="32"/>
        </w:rPr>
        <w:t>第四步，非现场评价，我们对收取的该项目资料进行分类、汇总和分析，对项目资金使用、项目组织管理、档案管理等方面进行评价。</w:t>
      </w:r>
    </w:p>
    <w:p w14:paraId="215E0460">
      <w:pPr>
        <w:spacing w:line="560" w:lineRule="exact"/>
        <w:ind w:firstLine="630" w:firstLineChars="190"/>
        <w:rPr>
          <w:rFonts w:ascii="仿宋_GB2312"/>
          <w:spacing w:val="6"/>
          <w:sz w:val="32"/>
          <w:szCs w:val="32"/>
        </w:rPr>
      </w:pPr>
      <w:r>
        <w:rPr>
          <w:rFonts w:hint="eastAsia" w:ascii="仿宋_GB2312"/>
          <w:spacing w:val="6"/>
          <w:sz w:val="32"/>
          <w:szCs w:val="32"/>
        </w:rPr>
        <w:t>第五步，综合分析阶段，评价小组结合项目单位提供的项目资料，对项目的实施情况进行核实，并对所掌握的有关信息进行分类、整理和初步分析，形成评价意见。</w:t>
      </w:r>
    </w:p>
    <w:p w14:paraId="2EDA95E4">
      <w:pPr>
        <w:spacing w:line="560" w:lineRule="exact"/>
        <w:ind w:firstLine="630" w:firstLineChars="190"/>
        <w:rPr>
          <w:rFonts w:ascii="仿宋_GB2312"/>
          <w:spacing w:val="6"/>
          <w:sz w:val="32"/>
          <w:szCs w:val="32"/>
        </w:rPr>
      </w:pPr>
      <w:r>
        <w:rPr>
          <w:rFonts w:hint="eastAsia" w:ascii="仿宋_GB2312"/>
          <w:spacing w:val="6"/>
          <w:sz w:val="32"/>
          <w:szCs w:val="32"/>
        </w:rPr>
        <w:t>①汇总整理绩效评价工作底稿。对评价工作底稿、相关资料进行整理，形成系统、完整的评价资料体系。</w:t>
      </w:r>
    </w:p>
    <w:p w14:paraId="12B51C74">
      <w:pPr>
        <w:spacing w:line="560" w:lineRule="exact"/>
        <w:ind w:firstLine="630" w:firstLineChars="190"/>
        <w:rPr>
          <w:rFonts w:ascii="仿宋_GB2312"/>
          <w:spacing w:val="6"/>
          <w:sz w:val="32"/>
          <w:szCs w:val="32"/>
        </w:rPr>
      </w:pPr>
      <w:r>
        <w:rPr>
          <w:rFonts w:hint="eastAsia" w:ascii="仿宋_GB2312"/>
          <w:spacing w:val="6"/>
          <w:sz w:val="32"/>
          <w:szCs w:val="32"/>
        </w:rPr>
        <w:t>②实施评价指标分析。对项目资料、数据进行分析，汇总、计算项目绩效结果，对照绩效目标或事先设定的标准进行分析，对项目绩效完成情况进行说明，给出相关原因分析。</w:t>
      </w:r>
    </w:p>
    <w:p w14:paraId="491152B3">
      <w:pPr>
        <w:spacing w:line="560" w:lineRule="exact"/>
        <w:ind w:firstLine="630" w:firstLineChars="190"/>
        <w:rPr>
          <w:rFonts w:ascii="仿宋_GB2312"/>
          <w:spacing w:val="6"/>
          <w:sz w:val="32"/>
          <w:szCs w:val="32"/>
        </w:rPr>
      </w:pPr>
      <w:r>
        <w:rPr>
          <w:rFonts w:hint="eastAsia" w:ascii="仿宋_GB2312"/>
          <w:spacing w:val="6"/>
          <w:sz w:val="32"/>
          <w:szCs w:val="32"/>
        </w:rPr>
        <w:t>③满意度调查分析。开展满意度调查，得出满意度调查结果。</w:t>
      </w:r>
    </w:p>
    <w:p w14:paraId="389E7E96">
      <w:pPr>
        <w:spacing w:line="560" w:lineRule="exact"/>
        <w:ind w:firstLine="630" w:firstLineChars="190"/>
        <w:rPr>
          <w:rFonts w:ascii="仿宋_GB2312"/>
          <w:spacing w:val="6"/>
          <w:sz w:val="32"/>
          <w:szCs w:val="32"/>
        </w:rPr>
      </w:pPr>
      <w:r>
        <w:rPr>
          <w:rFonts w:hint="eastAsia" w:ascii="仿宋_GB2312"/>
          <w:spacing w:val="6"/>
          <w:sz w:val="32"/>
          <w:szCs w:val="32"/>
        </w:rPr>
        <w:t>④形成绩效评价问题清单。根据共性指标体系框架，详列项目评价中发现的问题。</w:t>
      </w:r>
    </w:p>
    <w:p w14:paraId="336B0700">
      <w:pPr>
        <w:spacing w:line="560" w:lineRule="exact"/>
        <w:ind w:firstLine="630" w:firstLineChars="190"/>
        <w:rPr>
          <w:rFonts w:ascii="仿宋_GB2312"/>
          <w:spacing w:val="6"/>
          <w:sz w:val="32"/>
          <w:szCs w:val="32"/>
        </w:rPr>
      </w:pPr>
      <w:r>
        <w:rPr>
          <w:rFonts w:hint="eastAsia" w:ascii="仿宋_GB2312"/>
          <w:spacing w:val="6"/>
          <w:sz w:val="32"/>
          <w:szCs w:val="32"/>
        </w:rPr>
        <w:t>⑤形成绩效评价结果。评价小组在对评价项目的绩效情况进行全面分析的基础上，本着客观、公正、准确的原则，进行综合评分，针对评价发现的问题提出意见建议，形成绩效评价结果。</w:t>
      </w:r>
    </w:p>
    <w:p w14:paraId="2BF861EB">
      <w:pPr>
        <w:spacing w:line="560" w:lineRule="exact"/>
        <w:ind w:firstLine="630" w:firstLineChars="190"/>
        <w:rPr>
          <w:rFonts w:ascii="仿宋_GB2312"/>
          <w:spacing w:val="6"/>
          <w:sz w:val="32"/>
          <w:szCs w:val="32"/>
        </w:rPr>
      </w:pPr>
      <w:r>
        <w:rPr>
          <w:rFonts w:hint="eastAsia" w:ascii="仿宋_GB2312"/>
          <w:spacing w:val="6"/>
          <w:sz w:val="32"/>
          <w:szCs w:val="32"/>
        </w:rPr>
        <w:t>第六步，与委托方及项目实施单位针对绩效评价过程中发现的问题进行意见征询，经过讨论后修改与完善评价报告，并在规定时间内将各单位反馈意见及评价报告终稿提交委托方。</w:t>
      </w:r>
    </w:p>
    <w:p w14:paraId="72D142D1">
      <w:pPr>
        <w:spacing w:line="560" w:lineRule="exact"/>
        <w:ind w:firstLine="630" w:firstLineChars="190"/>
        <w:rPr>
          <w:rFonts w:ascii="仿宋_GB2312"/>
          <w:spacing w:val="6"/>
          <w:sz w:val="32"/>
          <w:szCs w:val="32"/>
        </w:rPr>
      </w:pPr>
      <w:r>
        <w:rPr>
          <w:rFonts w:hint="eastAsia" w:ascii="仿宋_GB2312"/>
          <w:spacing w:val="6"/>
          <w:sz w:val="32"/>
          <w:szCs w:val="32"/>
        </w:rPr>
        <w:t>按照相关要求，客观公正地撰写绩效评价报告。对评价工作认真总结，对评价过程中发现的问题进行分析，形成改进建议，对评价过程中发现的成功做法和经验进行推广。</w:t>
      </w:r>
    </w:p>
    <w:p w14:paraId="60FD52F2">
      <w:pPr>
        <w:spacing w:line="560" w:lineRule="exact"/>
        <w:ind w:firstLine="630" w:firstLineChars="190"/>
        <w:rPr>
          <w:rFonts w:ascii="仿宋_GB2312"/>
          <w:spacing w:val="6"/>
          <w:sz w:val="32"/>
          <w:szCs w:val="32"/>
        </w:rPr>
      </w:pPr>
      <w:r>
        <w:rPr>
          <w:rFonts w:hint="eastAsia" w:ascii="仿宋_GB2312"/>
          <w:spacing w:val="6"/>
          <w:sz w:val="32"/>
          <w:szCs w:val="32"/>
        </w:rPr>
        <w:t>第七步，归集档案。严格落实档案管理制度，及时安排项目组人员将相关底稿归档。移交事务所档案管理部门封存。</w:t>
      </w:r>
    </w:p>
    <w:p w14:paraId="7163F40A">
      <w:pPr>
        <w:spacing w:line="600" w:lineRule="exact"/>
        <w:ind w:firstLine="640"/>
        <w:outlineLvl w:val="1"/>
        <w:rPr>
          <w:rFonts w:ascii="楷体_GB2312" w:eastAsia="楷体_GB2312"/>
          <w:spacing w:val="6"/>
          <w:sz w:val="32"/>
          <w:szCs w:val="32"/>
        </w:rPr>
      </w:pPr>
      <w:bookmarkStart w:id="16" w:name="_Toc12195"/>
      <w:r>
        <w:rPr>
          <w:rFonts w:hint="eastAsia" w:ascii="楷体_GB2312" w:eastAsia="楷体_GB2312"/>
          <w:spacing w:val="6"/>
          <w:sz w:val="32"/>
          <w:szCs w:val="32"/>
        </w:rPr>
        <w:t>（三）绩效评价方法</w:t>
      </w:r>
      <w:bookmarkEnd w:id="16"/>
    </w:p>
    <w:p w14:paraId="22961394">
      <w:pPr>
        <w:spacing w:line="600" w:lineRule="exact"/>
        <w:ind w:firstLine="640"/>
        <w:rPr>
          <w:rFonts w:ascii="仿宋_GB2312"/>
          <w:bCs/>
          <w:sz w:val="32"/>
          <w:szCs w:val="32"/>
        </w:rPr>
      </w:pPr>
      <w:r>
        <w:rPr>
          <w:rFonts w:hint="eastAsia" w:ascii="仿宋_GB2312"/>
          <w:bCs/>
          <w:sz w:val="32"/>
          <w:szCs w:val="32"/>
        </w:rPr>
        <w:t>财政部《关于印发〈项目支出绩效评价管理办法〉的通知》（财预〔2020〕10 号）第 17条规定，绩效评价的方法主要包括成本效益分析法、比较法、因素分析法、最低成本法、公众评判法、标杆管理法等。</w:t>
      </w:r>
    </w:p>
    <w:p w14:paraId="7279D6A0">
      <w:pPr>
        <w:spacing w:line="600" w:lineRule="exact"/>
        <w:ind w:firstLine="640"/>
        <w:rPr>
          <w:rFonts w:ascii="仿宋_GB2312"/>
          <w:bCs/>
          <w:sz w:val="32"/>
          <w:szCs w:val="32"/>
        </w:rPr>
      </w:pPr>
      <w:r>
        <w:rPr>
          <w:rFonts w:hint="eastAsia" w:ascii="仿宋_GB2312"/>
          <w:bCs/>
          <w:sz w:val="32"/>
          <w:szCs w:val="32"/>
        </w:rPr>
        <w:t>本次绩效评价属于项目完成结果评价，项目坚持定量优先、定量与定性相结合的方式，根据项目实际情况，综合采用比较法、因素分析法、公众评判法。此外，通过查阅相关资料、座谈、走访、现场查勘等方式对相关实施内容进行现场核查，力求数据和资料的真实性、有效性。</w:t>
      </w:r>
    </w:p>
    <w:p w14:paraId="472BAB5D">
      <w:pPr>
        <w:spacing w:line="600" w:lineRule="exact"/>
        <w:ind w:firstLine="640"/>
        <w:rPr>
          <w:rFonts w:ascii="仿宋_GB2312"/>
          <w:bCs/>
          <w:sz w:val="32"/>
          <w:szCs w:val="32"/>
        </w:rPr>
      </w:pPr>
      <w:r>
        <w:rPr>
          <w:rFonts w:hint="eastAsia" w:ascii="仿宋_GB2312"/>
          <w:bCs/>
          <w:sz w:val="32"/>
          <w:szCs w:val="32"/>
        </w:rPr>
        <w:t>比较法：是指将实施情况与绩效目标、历史情况、不同部门和地区同类支出情况进行比较的方法。</w:t>
      </w:r>
    </w:p>
    <w:p w14:paraId="7159F6B5">
      <w:pPr>
        <w:spacing w:line="600" w:lineRule="exact"/>
        <w:ind w:firstLine="640"/>
        <w:rPr>
          <w:rFonts w:ascii="仿宋_GB2312"/>
          <w:bCs/>
          <w:sz w:val="32"/>
          <w:szCs w:val="32"/>
        </w:rPr>
      </w:pPr>
      <w:r>
        <w:rPr>
          <w:rFonts w:hint="eastAsia" w:ascii="仿宋_GB2312"/>
          <w:bCs/>
          <w:sz w:val="32"/>
          <w:szCs w:val="32"/>
        </w:rPr>
        <w:t>因素分析法：是指通过对项目实际绩效与目标绩效的比较、项目实际状况与设定评价标准的比较等分析该项目绩效目标的实现程度和效果。</w:t>
      </w:r>
    </w:p>
    <w:p w14:paraId="235A7B7C">
      <w:pPr>
        <w:spacing w:line="600" w:lineRule="exact"/>
        <w:ind w:firstLine="640"/>
        <w:rPr>
          <w:rFonts w:ascii="仿宋_GB2312"/>
          <w:bCs/>
          <w:sz w:val="32"/>
          <w:szCs w:val="32"/>
        </w:rPr>
      </w:pPr>
      <w:r>
        <w:rPr>
          <w:rFonts w:hint="eastAsia" w:ascii="仿宋_GB2312"/>
          <w:bCs/>
          <w:sz w:val="32"/>
          <w:szCs w:val="32"/>
        </w:rPr>
        <w:t>公众评判法：是指通过设计不同的调查问卷，通过访谈一定数量受益群体，最后汇总分析各方意见进行评价判断。</w:t>
      </w:r>
    </w:p>
    <w:p w14:paraId="61401617">
      <w:pPr>
        <w:spacing w:line="600" w:lineRule="exact"/>
        <w:ind w:firstLine="332" w:firstLineChars="100"/>
        <w:outlineLvl w:val="1"/>
        <w:rPr>
          <w:rFonts w:ascii="楷体_GB2312" w:eastAsia="楷体_GB2312"/>
          <w:spacing w:val="6"/>
          <w:sz w:val="32"/>
          <w:szCs w:val="32"/>
        </w:rPr>
      </w:pPr>
      <w:bookmarkStart w:id="17" w:name="_Toc30439"/>
      <w:r>
        <w:rPr>
          <w:rFonts w:hint="eastAsia" w:ascii="楷体_GB2312" w:eastAsia="楷体_GB2312"/>
          <w:spacing w:val="6"/>
          <w:sz w:val="32"/>
          <w:szCs w:val="32"/>
        </w:rPr>
        <w:t>（四）绩效评价指标体系</w:t>
      </w:r>
      <w:bookmarkEnd w:id="17"/>
    </w:p>
    <w:p w14:paraId="729C6C95">
      <w:pPr>
        <w:spacing w:line="560" w:lineRule="exact"/>
        <w:ind w:firstLine="640" w:firstLineChars="200"/>
        <w:rPr>
          <w:rFonts w:ascii="仿宋_GB2312"/>
          <w:bCs/>
          <w:sz w:val="32"/>
          <w:szCs w:val="32"/>
        </w:rPr>
      </w:pPr>
      <w:r>
        <w:rPr>
          <w:rFonts w:hint="eastAsia" w:ascii="仿宋_GB2312"/>
          <w:bCs/>
          <w:sz w:val="32"/>
          <w:szCs w:val="32"/>
        </w:rPr>
        <w:t>根据财政部《关于印发〈项目支出绩效评价管理办法〉的通知》（财预〔2020〕10 号）和《重庆市财政局关于印发&lt;重庆市市级政策和项目预算绩效管理办法(试行)&gt;的通知》（渝财绩〔2019〕19号），指标体系就项目投入、管理、产出和效果等方面进行全面设计，指标设置需考虑其实用性、可操作性和可实现性。绩效评价指标遵循相关性原则、重要性原则、可比性原则、系统性原则、经济性原则等五个原则，充分体现评价项目的绩效状况，真实反映绩效目标的完成情况，并满足评价项目的需要。绩效指标分为共性指标和个性指标。</w:t>
      </w:r>
    </w:p>
    <w:p w14:paraId="75FE9679">
      <w:pPr>
        <w:spacing w:line="560" w:lineRule="exact"/>
        <w:ind w:firstLine="640" w:firstLineChars="200"/>
        <w:rPr>
          <w:rFonts w:ascii="仿宋_GB2312"/>
          <w:bCs/>
          <w:sz w:val="32"/>
          <w:szCs w:val="32"/>
        </w:rPr>
      </w:pPr>
      <w:r>
        <w:rPr>
          <w:rFonts w:hint="eastAsia" w:ascii="仿宋_GB2312"/>
          <w:bCs/>
          <w:sz w:val="32"/>
          <w:szCs w:val="32"/>
        </w:rPr>
        <w:t>1.共性指标，适用于所有评价对象的指标。通常共性指标用于测度项目的投入和管理情况。本项目共性指标，我们将在《重庆市财政局关于印发&lt;重庆市市级政策和项目预算绩效管理办法(试行)&gt;的通知》（渝财绩〔2019〕19号）中选取设定。</w:t>
      </w:r>
    </w:p>
    <w:p w14:paraId="42DF9405">
      <w:pPr>
        <w:spacing w:line="560" w:lineRule="exact"/>
        <w:ind w:firstLine="640" w:firstLineChars="200"/>
        <w:rPr>
          <w:rFonts w:ascii="仿宋_GB2312"/>
          <w:bCs/>
          <w:sz w:val="32"/>
          <w:szCs w:val="32"/>
        </w:rPr>
      </w:pPr>
      <w:r>
        <w:rPr>
          <w:rFonts w:hint="eastAsia" w:ascii="仿宋_GB2312"/>
          <w:bCs/>
          <w:sz w:val="32"/>
          <w:szCs w:val="32"/>
        </w:rPr>
        <w:t>2.个性指标，针对预算部门或项目特点设定的，适用于不同预算部门或项目的绩效评价指标，通常个性指标用于测度项目的产出和效果情况。因被评价单位未制定绩效目标及绩效指标，本项目个性指标，我们将根据被评价单位报送的项目实施方案的基础上，总结提炼产出和效果的关键绩效指标。</w:t>
      </w:r>
    </w:p>
    <w:p w14:paraId="163E6B98">
      <w:pPr>
        <w:spacing w:line="560" w:lineRule="exact"/>
        <w:ind w:firstLine="640" w:firstLineChars="200"/>
        <w:rPr>
          <w:rFonts w:ascii="仿宋_GB2312"/>
          <w:bCs/>
          <w:sz w:val="32"/>
          <w:szCs w:val="32"/>
        </w:rPr>
      </w:pPr>
      <w:r>
        <w:rPr>
          <w:rFonts w:hint="eastAsia" w:ascii="仿宋_GB2312"/>
          <w:bCs/>
          <w:sz w:val="32"/>
          <w:szCs w:val="32"/>
        </w:rPr>
        <w:t>基于上述评价原则和评价依据，本项目指标体系共分为三级指标，投入、管理、产出和效果4项为一级指标；项目立项、资金落实、业务管理、财务管理、实际完成率、产出时效、质量达标率、产出成本、经济效益、社会效益、满意度11项指标为二级指标，项目立项规范性、绩效目标合理性、绩效指标明确性等26项为三级指标。</w:t>
      </w:r>
    </w:p>
    <w:p w14:paraId="73B26FA5">
      <w:pPr>
        <w:spacing w:line="560" w:lineRule="exact"/>
        <w:ind w:firstLine="640" w:firstLineChars="200"/>
        <w:rPr>
          <w:rFonts w:ascii="仿宋_GB2312"/>
          <w:bCs/>
          <w:sz w:val="32"/>
          <w:szCs w:val="32"/>
        </w:rPr>
      </w:pPr>
      <w:r>
        <w:rPr>
          <w:rFonts w:hint="eastAsia" w:ascii="仿宋_GB2312"/>
          <w:bCs/>
          <w:sz w:val="32"/>
          <w:szCs w:val="32"/>
        </w:rPr>
        <w:t>本次重点考察项目的产出和效果。具体绩效评价指标、指标解释、评价标准、 指标权重、数据来源等见附件所示。</w:t>
      </w:r>
    </w:p>
    <w:p w14:paraId="1F720D72">
      <w:pPr>
        <w:spacing w:line="560" w:lineRule="exact"/>
        <w:ind w:firstLine="640" w:firstLineChars="200"/>
        <w:rPr>
          <w:rFonts w:ascii="仿宋_GB2312"/>
          <w:bCs/>
          <w:sz w:val="32"/>
          <w:szCs w:val="32"/>
        </w:rPr>
      </w:pPr>
      <w:r>
        <w:rPr>
          <w:rFonts w:hint="eastAsia" w:ascii="仿宋_GB2312"/>
          <w:bCs/>
          <w:sz w:val="32"/>
          <w:szCs w:val="32"/>
        </w:rPr>
        <w:t>本次绩效评价结果采取评分和评级相结合的方式，指标分值满分为100分，根据最终得分情况将评价标准分为四个等级：</w:t>
      </w:r>
    </w:p>
    <w:p w14:paraId="757A95AB">
      <w:pPr>
        <w:spacing w:line="560" w:lineRule="exact"/>
        <w:ind w:firstLine="640" w:firstLineChars="200"/>
        <w:rPr>
          <w:rFonts w:ascii="仿宋_GB2312"/>
          <w:bCs/>
          <w:sz w:val="32"/>
          <w:szCs w:val="32"/>
        </w:rPr>
      </w:pPr>
      <w:r>
        <w:rPr>
          <w:rFonts w:hint="eastAsia" w:ascii="仿宋_GB2312"/>
          <w:bCs/>
          <w:sz w:val="32"/>
          <w:szCs w:val="32"/>
        </w:rPr>
        <w:t>综合得分在 90—100 分（含 90 分）为优；</w:t>
      </w:r>
    </w:p>
    <w:p w14:paraId="7ACCB75B">
      <w:pPr>
        <w:spacing w:line="560" w:lineRule="exact"/>
        <w:ind w:firstLine="640" w:firstLineChars="200"/>
        <w:rPr>
          <w:rFonts w:ascii="仿宋_GB2312"/>
          <w:bCs/>
          <w:sz w:val="32"/>
          <w:szCs w:val="32"/>
        </w:rPr>
      </w:pPr>
      <w:r>
        <w:rPr>
          <w:rFonts w:hint="eastAsia" w:ascii="仿宋_GB2312"/>
          <w:bCs/>
          <w:sz w:val="32"/>
          <w:szCs w:val="32"/>
        </w:rPr>
        <w:t>综合得分在 80—90 分（含 80 分）为良；</w:t>
      </w:r>
    </w:p>
    <w:p w14:paraId="1AA3102D">
      <w:pPr>
        <w:spacing w:line="560" w:lineRule="exact"/>
        <w:ind w:firstLine="640" w:firstLineChars="200"/>
        <w:rPr>
          <w:rFonts w:ascii="仿宋_GB2312"/>
          <w:bCs/>
          <w:sz w:val="32"/>
          <w:szCs w:val="32"/>
        </w:rPr>
      </w:pPr>
      <w:r>
        <w:rPr>
          <w:rFonts w:hint="eastAsia" w:ascii="仿宋_GB2312"/>
          <w:bCs/>
          <w:sz w:val="32"/>
          <w:szCs w:val="32"/>
        </w:rPr>
        <w:t>综合得分在 60—80 分（含 60 分）为中；</w:t>
      </w:r>
    </w:p>
    <w:p w14:paraId="7CB05A66">
      <w:pPr>
        <w:spacing w:line="560" w:lineRule="exact"/>
        <w:ind w:firstLine="640" w:firstLineChars="200"/>
        <w:rPr>
          <w:rFonts w:ascii="仿宋_GB2312"/>
          <w:bCs/>
          <w:sz w:val="32"/>
          <w:szCs w:val="32"/>
        </w:rPr>
      </w:pPr>
      <w:r>
        <w:rPr>
          <w:rFonts w:hint="eastAsia" w:ascii="仿宋_GB2312"/>
          <w:bCs/>
          <w:sz w:val="32"/>
          <w:szCs w:val="32"/>
        </w:rPr>
        <w:t>综合得分在 60 分以下为差。</w:t>
      </w:r>
    </w:p>
    <w:p w14:paraId="1488E2E9">
      <w:pPr>
        <w:numPr>
          <w:ilvl w:val="0"/>
          <w:numId w:val="3"/>
        </w:numPr>
        <w:spacing w:line="560" w:lineRule="exact"/>
        <w:ind w:firstLine="332" w:firstLineChars="100"/>
        <w:outlineLvl w:val="1"/>
        <w:rPr>
          <w:rFonts w:ascii="楷体_GB2312" w:eastAsia="楷体_GB2312"/>
          <w:spacing w:val="6"/>
          <w:sz w:val="32"/>
          <w:szCs w:val="32"/>
        </w:rPr>
      </w:pPr>
      <w:bookmarkStart w:id="18" w:name="_Toc17407"/>
      <w:r>
        <w:rPr>
          <w:rFonts w:hint="eastAsia" w:ascii="楷体_GB2312" w:eastAsia="楷体_GB2312"/>
          <w:spacing w:val="6"/>
          <w:sz w:val="32"/>
          <w:szCs w:val="32"/>
        </w:rPr>
        <w:t>绩效评价抽样情况</w:t>
      </w:r>
      <w:bookmarkEnd w:id="18"/>
    </w:p>
    <w:p w14:paraId="6275AED4">
      <w:pPr>
        <w:spacing w:line="560" w:lineRule="exact"/>
        <w:ind w:firstLine="640" w:firstLineChars="200"/>
        <w:rPr>
          <w:rFonts w:ascii="仿宋_GB2312"/>
          <w:bCs/>
          <w:sz w:val="32"/>
          <w:szCs w:val="32"/>
        </w:rPr>
      </w:pPr>
      <w:r>
        <w:rPr>
          <w:rFonts w:hint="eastAsia" w:ascii="仿宋_GB2312"/>
          <w:bCs/>
          <w:sz w:val="32"/>
          <w:szCs w:val="32"/>
        </w:rPr>
        <w:t>本次绩效评价采取全面核查的方式。</w:t>
      </w:r>
    </w:p>
    <w:p w14:paraId="57C0DEF8">
      <w:pPr>
        <w:spacing w:line="560" w:lineRule="exact"/>
        <w:ind w:firstLine="608" w:firstLineChars="190"/>
        <w:outlineLvl w:val="0"/>
        <w:rPr>
          <w:rFonts w:hint="eastAsia" w:ascii="黑体" w:hAnsi="黑体" w:eastAsia="黑体"/>
          <w:sz w:val="32"/>
          <w:szCs w:val="32"/>
        </w:rPr>
      </w:pPr>
      <w:bookmarkStart w:id="19" w:name="_Toc29118"/>
      <w:r>
        <w:rPr>
          <w:rFonts w:hint="eastAsia" w:ascii="黑体" w:hAnsi="黑体" w:eastAsia="黑体"/>
          <w:sz w:val="32"/>
          <w:szCs w:val="32"/>
        </w:rPr>
        <w:t>四、绩效评价结论及绩效目标实现情况</w:t>
      </w:r>
      <w:bookmarkEnd w:id="19"/>
    </w:p>
    <w:p w14:paraId="1D36B5C6">
      <w:pPr>
        <w:spacing w:line="560" w:lineRule="exact"/>
        <w:ind w:firstLine="630" w:firstLineChars="190"/>
        <w:rPr>
          <w:rFonts w:ascii="楷体_GB2312" w:eastAsia="楷体_GB2312"/>
          <w:spacing w:val="6"/>
          <w:sz w:val="32"/>
          <w:szCs w:val="32"/>
        </w:rPr>
      </w:pPr>
      <w:r>
        <w:rPr>
          <w:rFonts w:hint="eastAsia" w:ascii="楷体_GB2312" w:eastAsia="楷体_GB2312"/>
          <w:spacing w:val="6"/>
          <w:sz w:val="32"/>
          <w:szCs w:val="32"/>
        </w:rPr>
        <w:t>（一）2023年度绩效目标实现情况</w:t>
      </w:r>
    </w:p>
    <w:p w14:paraId="56E83310">
      <w:pPr>
        <w:spacing w:line="560" w:lineRule="exact"/>
        <w:ind w:firstLine="664" w:firstLineChars="200"/>
        <w:rPr>
          <w:rFonts w:ascii="楷体_GB2312" w:eastAsia="楷体_GB2312"/>
          <w:spacing w:val="6"/>
          <w:sz w:val="32"/>
          <w:szCs w:val="32"/>
        </w:rPr>
      </w:pPr>
      <w:r>
        <w:rPr>
          <w:rFonts w:hint="eastAsia" w:ascii="楷体_GB2312" w:eastAsia="楷体_GB2312"/>
          <w:spacing w:val="6"/>
          <w:sz w:val="32"/>
          <w:szCs w:val="32"/>
        </w:rPr>
        <w:t>被评价单位未制定绩效目标。</w:t>
      </w:r>
    </w:p>
    <w:p w14:paraId="24FBC741">
      <w:pPr>
        <w:spacing w:line="560" w:lineRule="exact"/>
        <w:ind w:firstLine="630" w:firstLineChars="190"/>
        <w:rPr>
          <w:rFonts w:ascii="楷体_GB2312" w:eastAsia="楷体_GB2312"/>
          <w:spacing w:val="6"/>
          <w:sz w:val="32"/>
          <w:szCs w:val="32"/>
        </w:rPr>
      </w:pPr>
      <w:r>
        <w:rPr>
          <w:rFonts w:hint="eastAsia" w:ascii="楷体_GB2312" w:eastAsia="楷体_GB2312"/>
          <w:spacing w:val="6"/>
          <w:sz w:val="32"/>
          <w:szCs w:val="32"/>
        </w:rPr>
        <w:t>（二）绩效评价综合结论</w:t>
      </w:r>
    </w:p>
    <w:p w14:paraId="6A17C54E">
      <w:pPr>
        <w:spacing w:line="560" w:lineRule="exact"/>
        <w:ind w:firstLine="640" w:firstLineChars="200"/>
        <w:rPr>
          <w:rFonts w:ascii="仿宋_GB2312"/>
          <w:bCs/>
          <w:sz w:val="32"/>
          <w:szCs w:val="32"/>
        </w:rPr>
      </w:pPr>
      <w:r>
        <w:rPr>
          <w:rFonts w:hint="eastAsia" w:ascii="仿宋_GB2312"/>
          <w:bCs/>
          <w:sz w:val="32"/>
          <w:szCs w:val="32"/>
        </w:rPr>
        <w:t>绩效评价组人员通过收集资料、实地调研、现场访谈和调查问卷等方式，对获得的数据与资料进行深入分析，形成了该项目的绩效评价报告。最终绩效评价得分及结论如下（具体指标得分情况详见附件一）：</w:t>
      </w:r>
    </w:p>
    <w:p w14:paraId="2CF9201F">
      <w:pPr>
        <w:spacing w:line="560" w:lineRule="exact"/>
        <w:ind w:firstLine="640" w:firstLineChars="200"/>
        <w:rPr>
          <w:rFonts w:ascii="仿宋_GB2312"/>
          <w:bCs/>
          <w:sz w:val="32"/>
          <w:szCs w:val="32"/>
        </w:rPr>
      </w:pPr>
      <w:r>
        <w:rPr>
          <w:rFonts w:hint="eastAsia" w:ascii="仿宋_GB2312"/>
          <w:bCs/>
          <w:sz w:val="32"/>
          <w:szCs w:val="32"/>
        </w:rPr>
        <w:t>经评定，该项目绩效评价得分：79.3分，绩效评价结论等级：中。</w:t>
      </w:r>
    </w:p>
    <w:p w14:paraId="6C52167B">
      <w:pPr>
        <w:numPr>
          <w:ilvl w:val="0"/>
          <w:numId w:val="4"/>
        </w:numPr>
        <w:spacing w:line="560" w:lineRule="exact"/>
        <w:ind w:firstLine="320" w:firstLineChars="100"/>
        <w:outlineLvl w:val="0"/>
        <w:rPr>
          <w:rFonts w:hint="eastAsia" w:ascii="黑体" w:hAnsi="黑体" w:eastAsia="黑体"/>
          <w:sz w:val="32"/>
          <w:szCs w:val="32"/>
        </w:rPr>
      </w:pPr>
      <w:bookmarkStart w:id="20" w:name="_Toc28768"/>
      <w:r>
        <w:rPr>
          <w:rFonts w:hint="eastAsia" w:ascii="黑体" w:hAnsi="黑体" w:eastAsia="黑体"/>
          <w:sz w:val="32"/>
          <w:szCs w:val="32"/>
        </w:rPr>
        <w:t>绩效评价情况分析</w:t>
      </w:r>
      <w:bookmarkEnd w:id="20"/>
    </w:p>
    <w:p w14:paraId="243568FE">
      <w:pPr>
        <w:spacing w:line="560" w:lineRule="exact"/>
        <w:ind w:firstLine="664" w:firstLineChars="200"/>
        <w:outlineLvl w:val="1"/>
        <w:rPr>
          <w:rFonts w:ascii="楷体_GB2312" w:hAnsi="Calibri" w:eastAsia="楷体_GB2312"/>
          <w:spacing w:val="6"/>
          <w:sz w:val="32"/>
          <w:szCs w:val="32"/>
        </w:rPr>
      </w:pPr>
      <w:bookmarkStart w:id="21" w:name="_Toc18438"/>
      <w:r>
        <w:rPr>
          <w:rFonts w:hint="eastAsia" w:ascii="楷体_GB2312" w:hAnsi="Calibri" w:eastAsia="楷体_GB2312"/>
          <w:spacing w:val="6"/>
          <w:sz w:val="32"/>
          <w:szCs w:val="32"/>
        </w:rPr>
        <w:t>（一）投入情况分析（总分17分，得9分）</w:t>
      </w:r>
      <w:bookmarkEnd w:id="21"/>
    </w:p>
    <w:p w14:paraId="300998F0">
      <w:p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1.项目立项（总分11分，得3分）</w:t>
      </w:r>
    </w:p>
    <w:p w14:paraId="7B3CFFA8">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（1）项目立项规范性（总分3分，得3分）</w:t>
      </w:r>
    </w:p>
    <w:p w14:paraId="6E28D361">
      <w:pPr>
        <w:spacing w:line="560" w:lineRule="exact"/>
        <w:ind w:firstLine="640" w:firstLineChars="200"/>
        <w:rPr>
          <w:rFonts w:ascii="仿宋_GB2312"/>
          <w:bCs/>
          <w:sz w:val="32"/>
          <w:szCs w:val="32"/>
        </w:rPr>
      </w:pPr>
      <w:r>
        <w:rPr>
          <w:rFonts w:hint="eastAsia" w:ascii="仿宋_GB2312"/>
          <w:bCs/>
          <w:sz w:val="32"/>
          <w:szCs w:val="32"/>
        </w:rPr>
        <w:t>该项目按照规定的程序申请设立；审批文件、材料符合相关要求；该项目实施单位编制了项目实施方案，该方案经重庆市文化和旅游发展委员会审批通过，并经集体决策，该实施方案已进行必要的可行性研究、专家论证、风险评估、绩效评估。</w:t>
      </w:r>
    </w:p>
    <w:p w14:paraId="2F421A1D">
      <w:pPr>
        <w:numPr>
          <w:ilvl w:val="0"/>
          <w:numId w:val="5"/>
        </w:num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绩效目标合理性（总分4分，得0分）</w:t>
      </w:r>
    </w:p>
    <w:p w14:paraId="15F09757">
      <w:pPr>
        <w:spacing w:line="560" w:lineRule="exact"/>
        <w:ind w:firstLine="640" w:firstLineChars="200"/>
        <w:rPr>
          <w:rFonts w:ascii="仿宋_GB2312"/>
          <w:bCs/>
          <w:sz w:val="32"/>
          <w:szCs w:val="32"/>
        </w:rPr>
      </w:pPr>
      <w:r>
        <w:rPr>
          <w:rFonts w:hint="eastAsia" w:ascii="仿宋_GB2312"/>
          <w:bCs/>
          <w:sz w:val="32"/>
          <w:szCs w:val="32"/>
        </w:rPr>
        <w:t>该项目未设定绩效目标。</w:t>
      </w:r>
    </w:p>
    <w:p w14:paraId="49EA9F0D">
      <w:pPr>
        <w:numPr>
          <w:ilvl w:val="0"/>
          <w:numId w:val="5"/>
        </w:num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绩效目标明确性（总分4分，得0分）</w:t>
      </w:r>
    </w:p>
    <w:p w14:paraId="48E48346">
      <w:pPr>
        <w:spacing w:line="560" w:lineRule="exact"/>
        <w:ind w:firstLine="640" w:firstLineChars="200"/>
        <w:rPr>
          <w:rFonts w:ascii="仿宋_GB2312"/>
          <w:bCs/>
          <w:sz w:val="32"/>
          <w:szCs w:val="32"/>
        </w:rPr>
      </w:pPr>
      <w:r>
        <w:rPr>
          <w:rFonts w:hint="eastAsia" w:ascii="仿宋_GB2312"/>
          <w:bCs/>
          <w:sz w:val="32"/>
          <w:szCs w:val="32"/>
        </w:rPr>
        <w:t>该项目未设定绩效指标。</w:t>
      </w:r>
    </w:p>
    <w:p w14:paraId="018CEE33">
      <w:p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2.资金落实（总分6分，得6分）</w:t>
      </w:r>
    </w:p>
    <w:p w14:paraId="169ABEDF">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（1）资金到位率（总分3分，得3分）</w:t>
      </w:r>
    </w:p>
    <w:p w14:paraId="49992829">
      <w:pPr>
        <w:spacing w:line="560" w:lineRule="exact"/>
        <w:ind w:firstLine="640" w:firstLineChars="200"/>
        <w:rPr>
          <w:rFonts w:ascii="仿宋_GB2312"/>
          <w:bCs/>
          <w:sz w:val="32"/>
          <w:szCs w:val="32"/>
        </w:rPr>
      </w:pPr>
      <w:r>
        <w:rPr>
          <w:rFonts w:hint="eastAsia" w:ascii="仿宋_GB2312"/>
          <w:bCs/>
          <w:sz w:val="32"/>
          <w:szCs w:val="32"/>
        </w:rPr>
        <w:t xml:space="preserve">该项目实际到位资金462万元，预算资金462万元，资金到位率=462万元/462万元×100%=100%。得分=资金到位率*3=100%*3=3。 </w:t>
      </w:r>
    </w:p>
    <w:p w14:paraId="13A68640">
      <w:pPr>
        <w:numPr>
          <w:ilvl w:val="0"/>
          <w:numId w:val="6"/>
        </w:num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资金到位及时率（总分3分，得3分）</w:t>
      </w:r>
    </w:p>
    <w:p w14:paraId="7678FCD8">
      <w:pPr>
        <w:spacing w:line="560" w:lineRule="exact"/>
        <w:ind w:firstLine="640" w:firstLineChars="200"/>
        <w:rPr>
          <w:rFonts w:ascii="仿宋_GB2312"/>
          <w:bCs/>
          <w:sz w:val="32"/>
          <w:szCs w:val="32"/>
        </w:rPr>
      </w:pPr>
      <w:r>
        <w:rPr>
          <w:rFonts w:hint="eastAsia" w:ascii="仿宋_GB2312"/>
          <w:bCs/>
          <w:sz w:val="32"/>
          <w:szCs w:val="32"/>
        </w:rPr>
        <w:t>该项目及时到位资金462万元，应到位资金462万元，到位及时率=（及时到位资金/应到位资金）×100%=（462万元/462万元）×100%=100%。得分=预算执行率*3=100%*3=3。</w:t>
      </w:r>
    </w:p>
    <w:p w14:paraId="1A88E222">
      <w:pPr>
        <w:spacing w:line="560" w:lineRule="exact"/>
        <w:ind w:firstLine="796" w:firstLineChars="240"/>
        <w:outlineLvl w:val="1"/>
        <w:rPr>
          <w:rFonts w:ascii="楷体_GB2312" w:hAnsi="Calibri" w:eastAsia="楷体_GB2312"/>
          <w:spacing w:val="6"/>
          <w:sz w:val="32"/>
          <w:szCs w:val="32"/>
        </w:rPr>
      </w:pPr>
      <w:bookmarkStart w:id="22" w:name="_Toc17631"/>
      <w:r>
        <w:rPr>
          <w:rFonts w:hint="eastAsia" w:ascii="楷体_GB2312" w:hAnsi="Calibri" w:eastAsia="楷体_GB2312"/>
          <w:spacing w:val="6"/>
          <w:sz w:val="32"/>
          <w:szCs w:val="32"/>
        </w:rPr>
        <w:t>（二）管理情况分析（总分17分，得17分）</w:t>
      </w:r>
      <w:bookmarkEnd w:id="22"/>
      <w:r>
        <w:rPr>
          <w:rFonts w:hint="eastAsia" w:ascii="楷体_GB2312" w:hAnsi="Calibri" w:eastAsia="楷体_GB2312"/>
          <w:spacing w:val="6"/>
          <w:sz w:val="32"/>
          <w:szCs w:val="32"/>
        </w:rPr>
        <w:t xml:space="preserve"> </w:t>
      </w:r>
    </w:p>
    <w:p w14:paraId="1057E8FA">
      <w:p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1.业务管理（总分8分，得8分）</w:t>
      </w:r>
    </w:p>
    <w:p w14:paraId="17918242">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（1）管理制度健全性（总分2分，得2分）</w:t>
      </w:r>
    </w:p>
    <w:p w14:paraId="443EE3BC">
      <w:pPr>
        <w:spacing w:line="560" w:lineRule="exact"/>
        <w:ind w:firstLine="640" w:firstLineChars="200"/>
        <w:rPr>
          <w:rFonts w:ascii="楷体_GB2312" w:hAnsi="Calibri" w:eastAsia="楷体_GB2312"/>
          <w:spacing w:val="6"/>
          <w:sz w:val="32"/>
          <w:szCs w:val="32"/>
        </w:rPr>
      </w:pPr>
      <w:r>
        <w:rPr>
          <w:rFonts w:hint="eastAsia" w:ascii="仿宋_GB2312"/>
          <w:bCs/>
          <w:sz w:val="32"/>
          <w:szCs w:val="32"/>
        </w:rPr>
        <w:t>项目实施单位已制定相应的业务管理制度；业务管理制度合法、合规、完整。</w:t>
      </w:r>
    </w:p>
    <w:p w14:paraId="3BB38142">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（2）制度执行有效性（总分4分，得4分）</w:t>
      </w:r>
    </w:p>
    <w:p w14:paraId="70729245">
      <w:pPr>
        <w:spacing w:line="560" w:lineRule="exact"/>
        <w:ind w:firstLine="640" w:firstLineChars="200"/>
        <w:rPr>
          <w:rFonts w:ascii="仿宋_GB2312"/>
          <w:bCs/>
          <w:sz w:val="32"/>
          <w:szCs w:val="32"/>
        </w:rPr>
      </w:pPr>
      <w:r>
        <w:rPr>
          <w:rFonts w:hint="eastAsia" w:ascii="仿宋_GB2312"/>
          <w:bCs/>
          <w:sz w:val="32"/>
          <w:szCs w:val="32"/>
        </w:rPr>
        <w:t>该项目遵守相关法律法规和相关管理规定；该项目不存在调整事项；合同书、验收报告、技术鉴定等资料齐全并及时归档；项目实施的人员条件、场地设备、信息支撑等落实到位。</w:t>
      </w:r>
    </w:p>
    <w:p w14:paraId="76626456">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（3）项目质量的可控性（总分2分，得2分）</w:t>
      </w:r>
    </w:p>
    <w:p w14:paraId="37B04070">
      <w:pPr>
        <w:spacing w:line="560" w:lineRule="exact"/>
        <w:ind w:firstLine="768" w:firstLineChars="240"/>
        <w:rPr>
          <w:rFonts w:ascii="仿宋_GB2312"/>
          <w:bCs/>
          <w:sz w:val="32"/>
          <w:szCs w:val="32"/>
        </w:rPr>
      </w:pPr>
      <w:r>
        <w:rPr>
          <w:rFonts w:hint="eastAsia" w:ascii="仿宋_GB2312"/>
          <w:bCs/>
          <w:sz w:val="32"/>
          <w:szCs w:val="32"/>
        </w:rPr>
        <w:t>被评价单位在《重庆市巫山县老少边及欠发达地区县级应急广播系统建设方案》中明确了相应的质量要求，相关设备安装完毕后经市、县两级验收，且验收合格。</w:t>
      </w:r>
    </w:p>
    <w:p w14:paraId="7FA4D2A3">
      <w:p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2.财务管理（总分9分，得</w:t>
      </w:r>
      <w:r>
        <w:rPr>
          <w:rFonts w:hint="eastAsia" w:eastAsia="楷体_GB2312"/>
        </w:rPr>
        <w:t>9</w:t>
      </w:r>
      <w:r>
        <w:rPr>
          <w:rFonts w:hint="eastAsia" w:ascii="楷体_GB2312" w:hAnsi="Calibri" w:eastAsia="楷体_GB2312"/>
          <w:spacing w:val="6"/>
          <w:sz w:val="32"/>
          <w:szCs w:val="32"/>
        </w:rPr>
        <w:t>分）</w:t>
      </w:r>
    </w:p>
    <w:p w14:paraId="7131C221">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（1）财务管理制度健全性（总分2分，得2分）</w:t>
      </w:r>
    </w:p>
    <w:p w14:paraId="1CF16334">
      <w:pPr>
        <w:spacing w:line="560" w:lineRule="exact"/>
        <w:ind w:firstLine="640" w:firstLineChars="200"/>
        <w:rPr>
          <w:rFonts w:ascii="仿宋_GB2312"/>
          <w:bCs/>
          <w:sz w:val="32"/>
          <w:szCs w:val="32"/>
        </w:rPr>
      </w:pPr>
      <w:r>
        <w:rPr>
          <w:rFonts w:hint="eastAsia" w:ascii="仿宋_GB2312"/>
          <w:bCs/>
          <w:sz w:val="32"/>
          <w:szCs w:val="32"/>
        </w:rPr>
        <w:t>根据县文化旅游委《关于2023年巫山县老少边及欠发达地区县级应急广播体系建设项目相关绩效评价指标情况的说明》“市文化旅游委在《关于印发重庆市2023年老少边欠发达地区县级应急广播体系建设工程实施方案的通知》中明确提出按照《中央支持地方公共文化服务体系建设补助资金管理暂行办法》（财教(2022〕270号）有关规定加强资金管理……”，县文化旅游委以该暂行办法作为该项目财务管理制度。</w:t>
      </w:r>
    </w:p>
    <w:p w14:paraId="73777510">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（2）资金使用合规性（总分5分，得5分）</w:t>
      </w:r>
    </w:p>
    <w:p w14:paraId="48D2E956">
      <w:pPr>
        <w:spacing w:line="560" w:lineRule="exact"/>
        <w:ind w:firstLine="640" w:firstLineChars="200"/>
        <w:rPr>
          <w:rFonts w:ascii="楷体_GB2312" w:hAnsi="Calibri" w:eastAsia="楷体_GB2312"/>
          <w:spacing w:val="6"/>
          <w:sz w:val="32"/>
          <w:szCs w:val="32"/>
        </w:rPr>
      </w:pPr>
      <w:r>
        <w:rPr>
          <w:rFonts w:hint="eastAsia" w:ascii="仿宋_GB2312"/>
          <w:bCs/>
          <w:sz w:val="32"/>
          <w:szCs w:val="32"/>
        </w:rPr>
        <w:t>经检查项目实施单位提供的财务资料，资金的使用符合项目预算批复的用途；未发现资金的使用存在截留、挤占、挪用、虚列支出等情况；未发现资金使用违反国家财经法规和财务管理制度以及有关专项资金管理办法的规定的情况；资金的拨付有完整的审批程序和手续；单位项目的重大开支经过评估认证。</w:t>
      </w:r>
    </w:p>
    <w:p w14:paraId="5E4E7244">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（3）财务监控有效性（总分2分，得2分）</w:t>
      </w:r>
    </w:p>
    <w:p w14:paraId="0282755F">
      <w:pPr>
        <w:spacing w:line="560" w:lineRule="exact"/>
        <w:ind w:firstLine="640" w:firstLineChars="200"/>
        <w:rPr>
          <w:rFonts w:ascii="仿宋_GB2312"/>
          <w:bCs/>
          <w:sz w:val="32"/>
          <w:szCs w:val="32"/>
        </w:rPr>
      </w:pPr>
      <w:r>
        <w:rPr>
          <w:rFonts w:hint="eastAsia" w:ascii="仿宋_GB2312"/>
          <w:bCs/>
          <w:sz w:val="32"/>
          <w:szCs w:val="32"/>
        </w:rPr>
        <w:t>该项目建设过程中，县文化旅游委严格按照中央及重庆相关文件要求使用项目资金，确保专款专用。</w:t>
      </w:r>
    </w:p>
    <w:p w14:paraId="61DD68BE">
      <w:pPr>
        <w:spacing w:line="560" w:lineRule="exact"/>
        <w:ind w:firstLine="332" w:firstLineChars="100"/>
        <w:outlineLvl w:val="1"/>
        <w:rPr>
          <w:rFonts w:ascii="楷体_GB2312" w:hAnsi="Calibri" w:eastAsia="楷体_GB2312"/>
          <w:spacing w:val="6"/>
          <w:sz w:val="32"/>
          <w:szCs w:val="32"/>
        </w:rPr>
      </w:pPr>
      <w:bookmarkStart w:id="23" w:name="_Toc1961"/>
      <w:r>
        <w:rPr>
          <w:rFonts w:hint="eastAsia" w:ascii="楷体_GB2312" w:hAnsi="Calibri" w:eastAsia="楷体_GB2312"/>
          <w:spacing w:val="6"/>
          <w:sz w:val="32"/>
          <w:szCs w:val="32"/>
        </w:rPr>
        <w:t>（三）产出情况分析（总分52分，得41.29分）</w:t>
      </w:r>
      <w:bookmarkEnd w:id="23"/>
    </w:p>
    <w:p w14:paraId="060839D0">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1.实际完成率（总分30分，得29.29分）</w:t>
      </w:r>
    </w:p>
    <w:p w14:paraId="049EA38D">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（1）经补充完善县级应急广播平台（总分5分，得5分）</w:t>
      </w:r>
    </w:p>
    <w:p w14:paraId="54F51A89">
      <w:pPr>
        <w:spacing w:line="560" w:lineRule="exact"/>
        <w:ind w:firstLine="320" w:firstLineChars="100"/>
        <w:rPr>
          <w:rFonts w:ascii="仿宋_GB2312"/>
          <w:bCs/>
          <w:sz w:val="32"/>
          <w:szCs w:val="32"/>
        </w:rPr>
      </w:pPr>
      <w:r>
        <w:rPr>
          <w:rFonts w:hint="eastAsia" w:ascii="仿宋_GB2312"/>
          <w:bCs/>
          <w:sz w:val="32"/>
          <w:szCs w:val="32"/>
        </w:rPr>
        <w:t>该项目计划补充完善县级应急广播制作播发系统。根据现场调研及相关验收资料，完成了县级应急广播平台升级。其中：含视播一体化控制软件、广播服务器、视频监控服务器、数据库软件及服务器、广播专用UPS电源、单兵图传平台系统、时间同步服务器等设备。</w:t>
      </w:r>
    </w:p>
    <w:p w14:paraId="5A07CA17">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（2）新建横向职能部门应急预警信息接入前置系统（总分5分，得5分）</w:t>
      </w:r>
    </w:p>
    <w:p w14:paraId="77E0C9C4">
      <w:pPr>
        <w:spacing w:line="560" w:lineRule="exact"/>
        <w:ind w:firstLine="640" w:firstLineChars="200"/>
        <w:rPr>
          <w:rFonts w:ascii="楷体_GB2312" w:hAnsi="Calibri" w:eastAsia="楷体_GB2312"/>
          <w:spacing w:val="6"/>
          <w:sz w:val="32"/>
          <w:szCs w:val="32"/>
        </w:rPr>
      </w:pPr>
      <w:r>
        <w:rPr>
          <w:rFonts w:hint="eastAsia" w:ascii="仿宋_GB2312"/>
          <w:bCs/>
          <w:sz w:val="32"/>
          <w:szCs w:val="32"/>
        </w:rPr>
        <w:t>该项目计划新建横向职能部门应急预警信息接入前置系统。根据现场调研及相关验收资料，完成2处横向部门对接，分别为气象局和应急局，包含彩屏桌面控制器、分控平台、音源设备、监听音箱、广播智能编码器等。</w:t>
      </w:r>
    </w:p>
    <w:p w14:paraId="05A9563F">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（3）传输覆盖网（总分5分，得4.29分）</w:t>
      </w:r>
    </w:p>
    <w:p w14:paraId="4C5E740C">
      <w:pPr>
        <w:pStyle w:val="7"/>
        <w:widowControl w:val="0"/>
        <w:spacing w:before="0" w:beforeAutospacing="0" w:after="0" w:afterAutospacing="0" w:line="500" w:lineRule="exact"/>
        <w:ind w:firstLine="640" w:firstLineChars="200"/>
        <w:jc w:val="both"/>
        <w:outlineLvl w:val="1"/>
        <w:rPr>
          <w:rFonts w:ascii="仿宋_GB2312" w:hAnsi="Times New Roman" w:cs="Times New Roman"/>
          <w:bCs/>
          <w:kern w:val="2"/>
          <w:sz w:val="32"/>
          <w:szCs w:val="32"/>
        </w:rPr>
      </w:pPr>
      <w:bookmarkStart w:id="24" w:name="_Toc1342"/>
      <w:r>
        <w:rPr>
          <w:rFonts w:hint="eastAsia" w:ascii="仿宋_GB2312" w:hAnsi="Times New Roman" w:cs="Times New Roman"/>
          <w:bCs/>
          <w:kern w:val="2"/>
          <w:sz w:val="32"/>
          <w:szCs w:val="32"/>
        </w:rPr>
        <w:t>该项目计划新建调频台站、有线数字电视前端、地面数字电视前端、融媒体中心、电台/电视台频率频道、户外大屏、公共广播等7套适配系统，根据现场调研及相关验收资料，完成调频台站、地面数字电视前端、融媒体中心、电台/电视台频率频道、户外大屏、公共广播等6套适配系统，有线数字电视前端适配系统已到货，因市级安播原因目前未实施安装对接。实际完成率=(实际产出数/计划产出数)×100%=6/7×100%=85.71%，本项得分=实际完成率*目标分值=85.71%*5=4.29。</w:t>
      </w:r>
      <w:bookmarkEnd w:id="24"/>
    </w:p>
    <w:p w14:paraId="5E96BCEF">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（4）补充完善大喇叭系统（总分5分，得5分）</w:t>
      </w:r>
    </w:p>
    <w:p w14:paraId="57DB0F17">
      <w:pPr>
        <w:pStyle w:val="7"/>
        <w:widowControl w:val="0"/>
        <w:spacing w:before="0" w:beforeAutospacing="0" w:after="0" w:afterAutospacing="0" w:line="500" w:lineRule="exact"/>
        <w:ind w:firstLine="640" w:firstLineChars="200"/>
        <w:jc w:val="both"/>
        <w:outlineLvl w:val="1"/>
        <w:rPr>
          <w:rFonts w:ascii="仿宋_GB2312" w:hAnsi="Times New Roman" w:cs="Times New Roman"/>
          <w:bCs/>
          <w:kern w:val="2"/>
          <w:sz w:val="32"/>
          <w:szCs w:val="32"/>
        </w:rPr>
      </w:pPr>
      <w:bookmarkStart w:id="25" w:name="_Toc9424"/>
      <w:r>
        <w:rPr>
          <w:rFonts w:hint="eastAsia" w:ascii="仿宋_GB2312" w:hAnsi="Times New Roman" w:cs="Times New Roman"/>
          <w:bCs/>
          <w:kern w:val="2"/>
          <w:sz w:val="32"/>
          <w:szCs w:val="32"/>
        </w:rPr>
        <w:t>该项目计划建设800只大喇叭，根据现场调研及相关验收资料，完成大喇叭系统建设。</w:t>
      </w:r>
      <w:bookmarkEnd w:id="25"/>
    </w:p>
    <w:p w14:paraId="09DEBF46">
      <w:pPr>
        <w:pStyle w:val="7"/>
        <w:widowControl w:val="0"/>
        <w:spacing w:before="0" w:beforeAutospacing="0" w:after="0" w:afterAutospacing="0" w:line="500" w:lineRule="exact"/>
        <w:ind w:firstLine="332" w:firstLineChars="100"/>
        <w:jc w:val="both"/>
        <w:rPr>
          <w:rFonts w:hint="eastAsia"/>
          <w:spacing w:val="4"/>
          <w:sz w:val="21"/>
          <w:szCs w:val="21"/>
        </w:rPr>
      </w:pPr>
      <w:r>
        <w:rPr>
          <w:rFonts w:hint="eastAsia" w:ascii="楷体_GB2312" w:hAnsi="Calibri" w:eastAsia="楷体_GB2312"/>
          <w:spacing w:val="6"/>
          <w:sz w:val="32"/>
          <w:szCs w:val="32"/>
        </w:rPr>
        <w:t>（5）县级应急广播安全体系和信息安全设备（总分5分，得5分）</w:t>
      </w:r>
    </w:p>
    <w:p w14:paraId="415C92B5">
      <w:pPr>
        <w:spacing w:line="560" w:lineRule="exact"/>
        <w:ind w:firstLine="320" w:firstLineChars="100"/>
        <w:rPr>
          <w:rFonts w:ascii="仿宋_GB2312"/>
          <w:bCs/>
          <w:sz w:val="32"/>
          <w:szCs w:val="32"/>
        </w:rPr>
      </w:pPr>
      <w:r>
        <w:rPr>
          <w:rFonts w:hint="eastAsia" w:ascii="仿宋_GB2312"/>
          <w:bCs/>
          <w:sz w:val="32"/>
          <w:szCs w:val="32"/>
        </w:rPr>
        <w:t>该项目计划安装签名验签服务器、USB密码器、安全模块等安全设备，根据现场调研及相关验收资料，完成新增1套签名验签服务器，新增11套USB密码器，进一步提升县级应急广播安全体系和信息安全设备管控。</w:t>
      </w:r>
    </w:p>
    <w:p w14:paraId="1774FF06">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（6）新增一套机动应急广播系统（总分5分，得5分）</w:t>
      </w:r>
    </w:p>
    <w:p w14:paraId="7E6857C7">
      <w:pPr>
        <w:spacing w:line="560" w:lineRule="exact"/>
        <w:ind w:firstLine="320" w:firstLineChars="100"/>
        <w:rPr>
          <w:rFonts w:ascii="仿宋_GB2312"/>
          <w:bCs/>
          <w:sz w:val="32"/>
          <w:szCs w:val="32"/>
        </w:rPr>
      </w:pPr>
      <w:r>
        <w:rPr>
          <w:rFonts w:hint="eastAsia" w:ascii="仿宋_GB2312"/>
          <w:bCs/>
          <w:sz w:val="32"/>
          <w:szCs w:val="32"/>
        </w:rPr>
        <w:t>该项目计划新建1套一体化应急广播机动系统及配套设施。根据现场调研及相关验收资料，完成1套机动应急广播、单兵图传系统部署和设备安装。</w:t>
      </w:r>
    </w:p>
    <w:p w14:paraId="03FC5BE4">
      <w:pPr>
        <w:numPr>
          <w:ilvl w:val="0"/>
          <w:numId w:val="7"/>
        </w:num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产出时效（总分7分，得2分）</w:t>
      </w:r>
    </w:p>
    <w:p w14:paraId="035DF134">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（1）项目准备工作完成及时率（总分2分，得2分）</w:t>
      </w:r>
    </w:p>
    <w:p w14:paraId="45FB1448">
      <w:pPr>
        <w:spacing w:line="560" w:lineRule="exact"/>
        <w:ind w:firstLine="320" w:firstLineChars="100"/>
        <w:rPr>
          <w:rFonts w:ascii="仿宋_GB2312"/>
          <w:bCs/>
          <w:sz w:val="32"/>
          <w:szCs w:val="32"/>
        </w:rPr>
      </w:pPr>
      <w:r>
        <w:rPr>
          <w:rFonts w:hint="eastAsia" w:ascii="仿宋_GB2312"/>
          <w:bCs/>
          <w:sz w:val="32"/>
          <w:szCs w:val="32"/>
        </w:rPr>
        <w:t>根据被评价单位提供的项目实施方案及相关资料，项目准备工作按时完成。</w:t>
      </w:r>
    </w:p>
    <w:p w14:paraId="4C45F76E">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（2）项目建设工作完成及时率（总分2分，得0分）</w:t>
      </w:r>
    </w:p>
    <w:p w14:paraId="333218AB">
      <w:pPr>
        <w:spacing w:line="560" w:lineRule="exact"/>
        <w:ind w:firstLine="640" w:firstLineChars="200"/>
        <w:rPr>
          <w:rFonts w:ascii="楷体_GB2312" w:hAnsi="Calibri" w:eastAsia="楷体_GB2312"/>
          <w:spacing w:val="6"/>
          <w:sz w:val="32"/>
          <w:szCs w:val="32"/>
        </w:rPr>
      </w:pPr>
      <w:r>
        <w:rPr>
          <w:rFonts w:hint="eastAsia" w:ascii="仿宋_GB2312"/>
          <w:bCs/>
          <w:sz w:val="32"/>
          <w:szCs w:val="32"/>
        </w:rPr>
        <w:t>根据被评价单位提供的项目实施方案，该项目建设工作完成期间为2023年5月至 2023年9月。该项目于2023年11月开工，分别进行了县级平台安装调试、乡镇、村级平台终端安装及培训工作，12月初完成项目建设。项目建设工作未按时完成。</w:t>
      </w:r>
    </w:p>
    <w:p w14:paraId="23E92C91">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（3）项目验收工作完成及时率（总分3分，得0分）</w:t>
      </w:r>
    </w:p>
    <w:p w14:paraId="435F855A">
      <w:pPr>
        <w:pStyle w:val="7"/>
        <w:widowControl w:val="0"/>
        <w:spacing w:before="0" w:beforeAutospacing="0" w:after="0" w:afterAutospacing="0" w:line="500" w:lineRule="exact"/>
        <w:ind w:firstLine="640" w:firstLineChars="200"/>
        <w:jc w:val="both"/>
        <w:rPr>
          <w:rFonts w:ascii="楷体_GB2312" w:hAnsi="Calibri" w:eastAsia="楷体_GB2312"/>
          <w:spacing w:val="6"/>
          <w:sz w:val="32"/>
          <w:szCs w:val="32"/>
        </w:rPr>
      </w:pPr>
      <w:r>
        <w:rPr>
          <w:rFonts w:hint="eastAsia" w:ascii="仿宋_GB2312" w:hAnsi="Times New Roman" w:cs="Times New Roman"/>
          <w:bCs/>
          <w:kern w:val="2"/>
          <w:sz w:val="32"/>
          <w:szCs w:val="32"/>
        </w:rPr>
        <w:t>根据被评价单位提供的项目实施方案，该项目验收工作期间为2023年10月至2023 年11月。被评价单位于2023年12月7日聘请第三方检测机构对该项目开展了检测，于2023年12月13日-12月17日组织专家组开展了自查验收，市级验收工作于2024年5-6月开展。项目验收工作未按时完成。</w:t>
      </w:r>
    </w:p>
    <w:p w14:paraId="428B9CE5">
      <w:pPr>
        <w:numPr>
          <w:ilvl w:val="0"/>
          <w:numId w:val="8"/>
        </w:num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质量达标率（总分10分，得10分）</w:t>
      </w:r>
    </w:p>
    <w:p w14:paraId="010ED6CF">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（1）应急广播在线率（总分5分，得5分）</w:t>
      </w:r>
    </w:p>
    <w:p w14:paraId="31537FF8">
      <w:pPr>
        <w:spacing w:line="560" w:lineRule="exact"/>
        <w:ind w:firstLine="640" w:firstLineChars="200"/>
        <w:rPr>
          <w:rFonts w:ascii="仿宋_GB2312"/>
          <w:bCs/>
          <w:sz w:val="32"/>
          <w:szCs w:val="32"/>
        </w:rPr>
      </w:pPr>
      <w:r>
        <w:rPr>
          <w:rFonts w:hint="eastAsia" w:ascii="仿宋_GB2312"/>
          <w:bCs/>
          <w:sz w:val="32"/>
          <w:szCs w:val="32"/>
        </w:rPr>
        <w:t xml:space="preserve">综合其他省市关于应急广播在线率的规定，应急广播在线率最低不应低于90%。该项目实际在线率为92%，该指标得满分。 </w:t>
      </w:r>
    </w:p>
    <w:p w14:paraId="6B610C7B">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（2）设备质量达标率（总分5分，得5分）</w:t>
      </w:r>
    </w:p>
    <w:p w14:paraId="0528C9A7">
      <w:pPr>
        <w:pStyle w:val="7"/>
        <w:widowControl w:val="0"/>
        <w:spacing w:before="0" w:beforeAutospacing="0" w:after="0" w:afterAutospacing="0" w:line="500" w:lineRule="exact"/>
        <w:ind w:firstLine="640" w:firstLineChars="200"/>
        <w:jc w:val="both"/>
        <w:rPr>
          <w:rFonts w:ascii="仿宋_GB2312" w:hAnsi="Times New Roman" w:cs="Times New Roman"/>
          <w:bCs/>
          <w:kern w:val="2"/>
          <w:sz w:val="32"/>
          <w:szCs w:val="32"/>
        </w:rPr>
      </w:pPr>
      <w:r>
        <w:rPr>
          <w:rFonts w:hint="eastAsia" w:ascii="仿宋_GB2312" w:hAnsi="Times New Roman" w:cs="Times New Roman"/>
          <w:bCs/>
          <w:kern w:val="2"/>
          <w:sz w:val="32"/>
          <w:szCs w:val="32"/>
        </w:rPr>
        <w:t>根据现场调研及相关验收资料，设备全部验收合格。</w:t>
      </w:r>
    </w:p>
    <w:p w14:paraId="08CCCA63">
      <w:pPr>
        <w:numPr>
          <w:ilvl w:val="0"/>
          <w:numId w:val="8"/>
        </w:num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产出成本（总分5分，得0分）</w:t>
      </w:r>
    </w:p>
    <w:p w14:paraId="337CECB7">
      <w:pPr>
        <w:pStyle w:val="7"/>
        <w:widowControl w:val="0"/>
        <w:spacing w:before="0" w:beforeAutospacing="0" w:after="0" w:afterAutospacing="0" w:line="500" w:lineRule="exact"/>
        <w:ind w:firstLine="640" w:firstLineChars="200"/>
        <w:jc w:val="both"/>
        <w:rPr>
          <w:rFonts w:ascii="仿宋_GB2312" w:hAnsi="Times New Roman" w:cs="Times New Roman"/>
          <w:bCs/>
          <w:kern w:val="2"/>
          <w:sz w:val="32"/>
          <w:szCs w:val="32"/>
        </w:rPr>
      </w:pPr>
      <w:r>
        <w:rPr>
          <w:rFonts w:hint="eastAsia" w:ascii="仿宋_GB2312" w:hAnsi="Times New Roman" w:cs="Times New Roman"/>
          <w:bCs/>
          <w:kern w:val="2"/>
          <w:sz w:val="32"/>
          <w:szCs w:val="32"/>
        </w:rPr>
        <w:t>成本节约率。该项目经财政审核的预算投资为430万元，工程结算金额432.31万元，成本节约率=[（计划成本-实际成本）/计划成本]×100%=[（430-432.31）/430]×100%=-0.54%，成本节约率＜0%，扣5分。</w:t>
      </w:r>
    </w:p>
    <w:p w14:paraId="5A91FD86">
      <w:pPr>
        <w:spacing w:line="560" w:lineRule="exact"/>
        <w:ind w:firstLine="332" w:firstLineChars="100"/>
        <w:outlineLvl w:val="1"/>
        <w:rPr>
          <w:rFonts w:ascii="楷体_GB2312" w:hAnsi="Calibri" w:eastAsia="楷体_GB2312"/>
          <w:spacing w:val="6"/>
          <w:sz w:val="32"/>
          <w:szCs w:val="32"/>
        </w:rPr>
      </w:pPr>
      <w:bookmarkStart w:id="26" w:name="_Toc32406"/>
      <w:r>
        <w:rPr>
          <w:rFonts w:hint="eastAsia" w:ascii="楷体_GB2312" w:hAnsi="Calibri" w:eastAsia="楷体_GB2312"/>
          <w:spacing w:val="6"/>
          <w:sz w:val="32"/>
          <w:szCs w:val="32"/>
        </w:rPr>
        <w:t>（四）项目效果情况分析（总分14分，得12.01分）</w:t>
      </w:r>
      <w:bookmarkEnd w:id="26"/>
    </w:p>
    <w:p w14:paraId="2DB7DDBD">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1.经济效益（总分1分，得0分）</w:t>
      </w:r>
    </w:p>
    <w:p w14:paraId="01C27042">
      <w:pPr>
        <w:spacing w:line="560" w:lineRule="exact"/>
        <w:ind w:firstLine="640" w:firstLineChars="200"/>
        <w:rPr>
          <w:rFonts w:ascii="仿宋_GB2312"/>
          <w:bCs/>
          <w:sz w:val="32"/>
          <w:szCs w:val="32"/>
        </w:rPr>
      </w:pPr>
      <w:r>
        <w:rPr>
          <w:rFonts w:hint="eastAsia" w:ascii="仿宋_GB2312"/>
          <w:bCs/>
          <w:sz w:val="32"/>
          <w:szCs w:val="32"/>
        </w:rPr>
        <w:t>被评价单位未能提供相关资料，扣1分。</w:t>
      </w:r>
    </w:p>
    <w:p w14:paraId="1B594A3A">
      <w:pPr>
        <w:spacing w:line="560" w:lineRule="exact"/>
        <w:ind w:left="600" w:leftChars="200"/>
        <w:rPr>
          <w:rFonts w:ascii="楷体_GB2312" w:hAnsi="Calibri" w:eastAsia="楷体_GB2312"/>
          <w:spacing w:val="6"/>
          <w:sz w:val="32"/>
          <w:szCs w:val="32"/>
        </w:rPr>
      </w:pPr>
      <w:r>
        <w:rPr>
          <w:rFonts w:hint="eastAsia" w:ascii="楷体_GB2312" w:hAnsi="Calibri" w:eastAsia="楷体_GB2312"/>
          <w:spacing w:val="6"/>
          <w:sz w:val="32"/>
          <w:szCs w:val="32"/>
        </w:rPr>
        <w:t>2.社会效益（总分3分，得3分）</w:t>
      </w:r>
    </w:p>
    <w:p w14:paraId="4B815A08">
      <w:pPr>
        <w:spacing w:line="560" w:lineRule="exact"/>
        <w:ind w:firstLine="640" w:firstLineChars="200"/>
        <w:rPr>
          <w:rFonts w:ascii="仿宋_GB2312"/>
          <w:bCs/>
          <w:sz w:val="32"/>
          <w:szCs w:val="32"/>
        </w:rPr>
      </w:pPr>
      <w:r>
        <w:rPr>
          <w:rFonts w:hint="eastAsia" w:ascii="仿宋_GB2312"/>
          <w:bCs/>
          <w:sz w:val="32"/>
          <w:szCs w:val="32"/>
        </w:rPr>
        <w:t>根据被评价单位提供的相关资料，项目建成后，成为应急局等县级部门、镇街等单位发布灾害预警、政策、政务等信息的重要平台，大幅提升了县广播电视公共服务能力。</w:t>
      </w:r>
    </w:p>
    <w:p w14:paraId="3C67AFE9">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3.社会公众或服务对象满意度（总分10分，得9.01分）</w:t>
      </w:r>
    </w:p>
    <w:p w14:paraId="70D450AA">
      <w:pPr>
        <w:spacing w:line="560" w:lineRule="exact"/>
        <w:ind w:firstLine="640" w:firstLineChars="200"/>
        <w:rPr>
          <w:rFonts w:ascii="仿宋_GB2312"/>
          <w:bCs/>
          <w:sz w:val="32"/>
          <w:szCs w:val="32"/>
        </w:rPr>
      </w:pPr>
      <w:r>
        <w:rPr>
          <w:rFonts w:hint="eastAsia" w:ascii="仿宋_GB2312"/>
          <w:bCs/>
          <w:sz w:val="32"/>
          <w:szCs w:val="32"/>
        </w:rPr>
        <w:t>受益群众满意度。经对受益群众进行问卷调查，并统计计算，综合满意度为90.10%，得分=综合满意度*10=90.10%*10=9.01。</w:t>
      </w:r>
    </w:p>
    <w:p w14:paraId="1C276D7D">
      <w:pPr>
        <w:spacing w:line="560" w:lineRule="exact"/>
        <w:ind w:firstLine="640" w:firstLineChars="200"/>
        <w:outlineLvl w:val="0"/>
        <w:rPr>
          <w:rFonts w:hint="eastAsia" w:ascii="黑体" w:hAnsi="黑体" w:eastAsia="黑体"/>
          <w:sz w:val="32"/>
          <w:szCs w:val="32"/>
        </w:rPr>
      </w:pPr>
      <w:bookmarkStart w:id="27" w:name="_Toc898"/>
      <w:r>
        <w:rPr>
          <w:rFonts w:hint="eastAsia" w:ascii="黑体" w:hAnsi="黑体" w:eastAsia="黑体"/>
          <w:sz w:val="32"/>
          <w:szCs w:val="32"/>
        </w:rPr>
        <w:t>六、存在问题</w:t>
      </w:r>
      <w:bookmarkEnd w:id="27"/>
    </w:p>
    <w:p w14:paraId="2FA02542">
      <w:pPr>
        <w:spacing w:line="560" w:lineRule="exact"/>
        <w:ind w:firstLine="640" w:firstLineChars="200"/>
        <w:rPr>
          <w:rFonts w:ascii="仿宋_GB2312"/>
          <w:bCs/>
          <w:sz w:val="32"/>
          <w:szCs w:val="32"/>
        </w:rPr>
      </w:pPr>
      <w:r>
        <w:rPr>
          <w:rFonts w:hint="eastAsia" w:ascii="仿宋_GB2312"/>
          <w:bCs/>
          <w:sz w:val="32"/>
          <w:szCs w:val="32"/>
        </w:rPr>
        <w:t xml:space="preserve">绩效管理基础工作较薄弱。被评价单位针对该项目未制定相应的绩效目标，未制定绩效指标，未开展相关绩效管理工作。              </w:t>
      </w:r>
    </w:p>
    <w:p w14:paraId="2DC22E71">
      <w:pPr>
        <w:spacing w:line="560" w:lineRule="exact"/>
        <w:ind w:firstLine="630"/>
        <w:outlineLvl w:val="0"/>
        <w:rPr>
          <w:rFonts w:hint="eastAsia" w:ascii="黑体" w:hAnsi="黑体" w:eastAsia="黑体"/>
          <w:sz w:val="32"/>
          <w:szCs w:val="32"/>
        </w:rPr>
      </w:pPr>
      <w:bookmarkStart w:id="28" w:name="_Toc19187"/>
      <w:r>
        <w:rPr>
          <w:rFonts w:hint="eastAsia" w:ascii="黑体" w:hAnsi="黑体" w:eastAsia="黑体"/>
          <w:sz w:val="32"/>
          <w:szCs w:val="32"/>
        </w:rPr>
        <w:t>七、相关建议</w:t>
      </w:r>
      <w:bookmarkEnd w:id="28"/>
    </w:p>
    <w:p w14:paraId="0D7C7A3F">
      <w:pPr>
        <w:spacing w:line="560" w:lineRule="exact"/>
        <w:ind w:firstLine="640" w:firstLineChars="200"/>
        <w:rPr>
          <w:rFonts w:ascii="仿宋_GB2312"/>
          <w:bCs/>
          <w:sz w:val="32"/>
          <w:szCs w:val="32"/>
        </w:rPr>
      </w:pPr>
      <w:r>
        <w:rPr>
          <w:rFonts w:hint="eastAsia" w:ascii="仿宋_GB2312"/>
          <w:bCs/>
          <w:sz w:val="32"/>
          <w:szCs w:val="32"/>
        </w:rPr>
        <w:t>加强制度建设，强化绩效目标管理责任意识。要研究制定绩效目标管理规章制度，通过加强对预算绩效目标编制质量的刚性约束，不断规范编制行为，强化预算部门的绩效管理主体责任，增强自我约束意识和责任意识，改变“重分配、轻管理；重支出、轻绩效”的思想。</w:t>
      </w:r>
    </w:p>
    <w:p w14:paraId="7B6A8A84">
      <w:pPr>
        <w:spacing w:line="560" w:lineRule="exact"/>
        <w:ind w:firstLine="630"/>
        <w:outlineLvl w:val="0"/>
        <w:rPr>
          <w:rFonts w:hint="eastAsia" w:ascii="黑体" w:hAnsi="黑体" w:eastAsia="黑体"/>
          <w:sz w:val="32"/>
          <w:szCs w:val="32"/>
        </w:rPr>
      </w:pPr>
      <w:bookmarkStart w:id="29" w:name="_Toc2868"/>
      <w:r>
        <w:rPr>
          <w:rFonts w:hint="eastAsia" w:ascii="黑体" w:hAnsi="黑体" w:eastAsia="黑体"/>
          <w:sz w:val="32"/>
          <w:szCs w:val="32"/>
        </w:rPr>
        <w:t>八、绩效评价结果应用建议</w:t>
      </w:r>
      <w:bookmarkEnd w:id="29"/>
    </w:p>
    <w:p w14:paraId="4150DCAB">
      <w:pPr>
        <w:spacing w:line="560" w:lineRule="exact"/>
        <w:ind w:firstLine="630"/>
        <w:rPr>
          <w:rFonts w:hint="eastAsia" w:ascii="仿宋_GB2312" w:hAnsi="黑体"/>
          <w:sz w:val="32"/>
          <w:szCs w:val="32"/>
        </w:rPr>
      </w:pPr>
      <w:r>
        <w:rPr>
          <w:rFonts w:hint="eastAsia" w:ascii="仿宋_GB2312" w:hAnsi="黑体"/>
          <w:sz w:val="32"/>
          <w:szCs w:val="32"/>
        </w:rPr>
        <w:t>绩效评价结果应用，既是开展绩效评价工作的基本前提，又是加强财政支出管理、增强资金绩效理念、合理配置公共资源、优化财政支出结构、强化资金管理水平、提高资金使用效益的重要手段。建议相关单位认真对绩效评价结果进行总结分析，将其作为本部门预算安排、完善政策、改进管理的参考。同时，相关单位要针对发现的问题落实有关政策措施，聚力抓好重点问题整改，坚持举一反三、标本兼治，推动部门项目建设更加规范化运行。</w:t>
      </w:r>
    </w:p>
    <w:p w14:paraId="562E698E">
      <w:pPr>
        <w:spacing w:line="560" w:lineRule="exact"/>
        <w:ind w:firstLine="630"/>
        <w:outlineLvl w:val="0"/>
        <w:rPr>
          <w:rFonts w:hint="eastAsia" w:ascii="黑体" w:hAnsi="黑体" w:eastAsia="黑体"/>
          <w:sz w:val="32"/>
          <w:szCs w:val="32"/>
        </w:rPr>
      </w:pPr>
      <w:bookmarkStart w:id="30" w:name="_Toc31529"/>
      <w:r>
        <w:rPr>
          <w:rFonts w:hint="eastAsia" w:ascii="黑体" w:hAnsi="黑体" w:eastAsia="黑体"/>
          <w:sz w:val="32"/>
          <w:szCs w:val="32"/>
        </w:rPr>
        <w:t>九、特别说明</w:t>
      </w:r>
      <w:bookmarkEnd w:id="30"/>
    </w:p>
    <w:p w14:paraId="4D9459D5">
      <w:pPr>
        <w:spacing w:line="560" w:lineRule="exact"/>
        <w:ind w:firstLine="630"/>
        <w:rPr>
          <w:rFonts w:hint="eastAsia" w:ascii="仿宋_GB2312" w:hAnsi="黑体"/>
          <w:sz w:val="32"/>
          <w:szCs w:val="32"/>
        </w:rPr>
      </w:pPr>
      <w:r>
        <w:rPr>
          <w:rFonts w:hint="eastAsia" w:ascii="仿宋_GB2312" w:hAnsi="黑体"/>
          <w:sz w:val="32"/>
          <w:szCs w:val="32"/>
        </w:rPr>
        <w:t>本评价报告仅用作巫山县财政局绩效评价用途，且不能免除被评价单位管理层完善、加强经营管理和账务核算的责任。本报告未经本所同意，不得向委托方及被评价单位之外的任何单位和个人提供，报告的全部或部分内容不得发表于任何公开媒体。由于对本报告使用不当造成的后果，本所不承担相应的法律责任。本评价报告连同所附附件一并有效，复印及其他事项无效。</w:t>
      </w:r>
    </w:p>
    <w:p w14:paraId="4F4713C6">
      <w:pPr>
        <w:spacing w:line="560" w:lineRule="exact"/>
        <w:ind w:firstLine="630"/>
        <w:rPr>
          <w:rFonts w:hint="eastAsia" w:ascii="仿宋_GB2312" w:hAnsi="黑体"/>
          <w:sz w:val="32"/>
          <w:szCs w:val="32"/>
        </w:rPr>
      </w:pPr>
    </w:p>
    <w:p w14:paraId="74CE7322">
      <w:pPr>
        <w:spacing w:line="560" w:lineRule="exact"/>
        <w:ind w:firstLine="630"/>
        <w:rPr>
          <w:rFonts w:hint="eastAsia" w:ascii="仿宋_GB2312" w:hAnsi="黑体"/>
          <w:sz w:val="32"/>
          <w:szCs w:val="32"/>
        </w:rPr>
      </w:pPr>
    </w:p>
    <w:p w14:paraId="2F23E83F">
      <w:pPr>
        <w:spacing w:line="560" w:lineRule="exact"/>
        <w:ind w:firstLine="630"/>
        <w:rPr>
          <w:rFonts w:hint="eastAsia" w:ascii="仿宋_GB2312" w:hAnsi="黑体"/>
          <w:sz w:val="32"/>
          <w:szCs w:val="32"/>
        </w:rPr>
      </w:pPr>
    </w:p>
    <w:p w14:paraId="0F918D56">
      <w:pPr>
        <w:spacing w:line="560" w:lineRule="exact"/>
        <w:ind w:firstLine="630"/>
        <w:rPr>
          <w:rFonts w:hint="eastAsia" w:ascii="仿宋_GB2312" w:hAnsi="黑体"/>
          <w:sz w:val="32"/>
          <w:szCs w:val="32"/>
        </w:rPr>
      </w:pPr>
    </w:p>
    <w:p w14:paraId="5DE7C48D">
      <w:pPr>
        <w:spacing w:line="560" w:lineRule="exact"/>
        <w:rPr>
          <w:rFonts w:hint="eastAsia" w:ascii="仿宋_GB2312" w:hAnsi="黑体"/>
          <w:sz w:val="32"/>
          <w:szCs w:val="32"/>
        </w:rPr>
      </w:pPr>
      <w:r>
        <w:rPr>
          <w:rFonts w:hint="eastAsia" w:ascii="仿宋_GB2312" w:hAnsi="Calibri"/>
          <w:spacing w:val="6"/>
          <w:sz w:val="32"/>
          <w:szCs w:val="32"/>
        </w:rPr>
        <w:t>（本页无正文）</w:t>
      </w:r>
      <w:bookmarkStart w:id="31" w:name="_GoBack"/>
      <w:bookmarkEnd w:id="31"/>
    </w:p>
    <w:p w14:paraId="1F6C4ACA">
      <w:pPr>
        <w:spacing w:line="560" w:lineRule="exact"/>
        <w:ind w:firstLine="630"/>
        <w:rPr>
          <w:rFonts w:hint="eastAsia" w:ascii="仿宋_GB2312" w:hAnsi="黑体"/>
          <w:sz w:val="32"/>
          <w:szCs w:val="32"/>
        </w:rPr>
      </w:pPr>
    </w:p>
    <w:p w14:paraId="187DDAA3">
      <w:pPr>
        <w:spacing w:line="560" w:lineRule="exact"/>
        <w:ind w:firstLine="630"/>
        <w:rPr>
          <w:rFonts w:hint="eastAsia" w:ascii="仿宋_GB2312" w:hAnsi="黑体"/>
          <w:sz w:val="32"/>
          <w:szCs w:val="32"/>
        </w:rPr>
      </w:pPr>
    </w:p>
    <w:p w14:paraId="2F395BFC">
      <w:pPr>
        <w:spacing w:line="560" w:lineRule="exact"/>
        <w:ind w:firstLine="630"/>
        <w:rPr>
          <w:rFonts w:hint="eastAsia" w:ascii="仿宋_GB2312" w:hAnsi="黑体"/>
          <w:sz w:val="32"/>
          <w:szCs w:val="32"/>
        </w:rPr>
      </w:pPr>
    </w:p>
    <w:p w14:paraId="468A91F0">
      <w:pPr>
        <w:spacing w:line="560" w:lineRule="exact"/>
        <w:rPr>
          <w:rFonts w:ascii="仿宋_GB2312" w:hAnsi="Calibri"/>
          <w:spacing w:val="6"/>
          <w:sz w:val="32"/>
          <w:szCs w:val="32"/>
        </w:rPr>
      </w:pPr>
      <w:r>
        <w:rPr>
          <w:rFonts w:hint="eastAsia" w:ascii="仿宋_GB2312" w:hAnsi="Calibri"/>
          <w:spacing w:val="6"/>
          <w:sz w:val="32"/>
          <w:szCs w:val="32"/>
        </w:rPr>
        <w:t>附件：</w:t>
      </w:r>
    </w:p>
    <w:p w14:paraId="4D0D714A">
      <w:pPr>
        <w:spacing w:line="560" w:lineRule="exact"/>
        <w:ind w:firstLine="630"/>
        <w:rPr>
          <w:rFonts w:ascii="仿宋_GB2312" w:hAnsi="Calibri"/>
          <w:spacing w:val="6"/>
          <w:sz w:val="32"/>
          <w:szCs w:val="32"/>
        </w:rPr>
      </w:pPr>
      <w:r>
        <w:rPr>
          <w:rFonts w:hint="eastAsia" w:ascii="仿宋_GB2312" w:hAnsi="Calibri"/>
          <w:spacing w:val="6"/>
          <w:sz w:val="32"/>
          <w:szCs w:val="32"/>
        </w:rPr>
        <w:t>（一）巫山县2023年财政重点绩效评价项目指标体系表；</w:t>
      </w:r>
    </w:p>
    <w:p w14:paraId="17BFFA34">
      <w:pPr>
        <w:spacing w:line="560" w:lineRule="exact"/>
        <w:ind w:firstLine="630"/>
        <w:rPr>
          <w:rFonts w:ascii="仿宋_GB2312" w:hAnsi="Calibri"/>
          <w:spacing w:val="6"/>
          <w:sz w:val="32"/>
          <w:szCs w:val="32"/>
        </w:rPr>
      </w:pPr>
      <w:r>
        <w:rPr>
          <w:rFonts w:hint="eastAsia" w:ascii="仿宋_GB2312" w:hAnsi="Calibri"/>
          <w:spacing w:val="6"/>
          <w:sz w:val="32"/>
          <w:szCs w:val="32"/>
        </w:rPr>
        <w:t>（二）执业《注册会计师证书》复印件；</w:t>
      </w:r>
    </w:p>
    <w:p w14:paraId="3AEE59F5">
      <w:pPr>
        <w:spacing w:line="560" w:lineRule="exact"/>
        <w:ind w:firstLine="630"/>
        <w:rPr>
          <w:rFonts w:ascii="仿宋_GB2312" w:hAnsi="Calibri"/>
          <w:spacing w:val="6"/>
          <w:sz w:val="32"/>
          <w:szCs w:val="32"/>
        </w:rPr>
      </w:pPr>
      <w:r>
        <w:rPr>
          <w:rFonts w:hint="eastAsia" w:ascii="仿宋_GB2312" w:hAnsi="Calibri"/>
          <w:spacing w:val="6"/>
          <w:sz w:val="32"/>
          <w:szCs w:val="32"/>
        </w:rPr>
        <w:t>（三）重庆企望会计师事务所(普通合伙)《执业证书》复印件；</w:t>
      </w:r>
    </w:p>
    <w:p w14:paraId="64FDE744">
      <w:pPr>
        <w:spacing w:line="560" w:lineRule="exact"/>
        <w:ind w:firstLine="630"/>
        <w:rPr>
          <w:rFonts w:ascii="仿宋_GB2312" w:hAnsi="Calibri"/>
          <w:spacing w:val="6"/>
          <w:sz w:val="32"/>
          <w:szCs w:val="32"/>
        </w:rPr>
      </w:pPr>
      <w:r>
        <w:rPr>
          <w:rFonts w:hint="eastAsia" w:ascii="仿宋_GB2312" w:hAnsi="Calibri"/>
          <w:spacing w:val="6"/>
          <w:sz w:val="32"/>
          <w:szCs w:val="32"/>
        </w:rPr>
        <w:t>（四）重庆企望会计师事务所(普通合伙)《营业执照》复印件。</w:t>
      </w:r>
    </w:p>
    <w:p w14:paraId="7B9DFEAE"/>
    <w:p w14:paraId="77405763">
      <w:r>
        <w:rPr>
          <w:rFonts w:hint="eastAsia"/>
        </w:rPr>
        <w:t>重庆企望会计师事务所（普通合伙）  中国注册会计师：</w:t>
      </w:r>
    </w:p>
    <w:p w14:paraId="7A656CAB">
      <w:r>
        <w:rPr>
          <w:rFonts w:hint="eastAsia"/>
        </w:rPr>
        <w:t xml:space="preserve">  </w:t>
      </w:r>
    </w:p>
    <w:p w14:paraId="2006D821">
      <w:r>
        <w:rPr>
          <w:rFonts w:hint="eastAsia"/>
        </w:rPr>
        <w:t xml:space="preserve">      中国 · 重庆                中国注册会计师：</w:t>
      </w:r>
    </w:p>
    <w:p w14:paraId="419E3524"/>
    <w:p w14:paraId="6D698708">
      <w:r>
        <w:rPr>
          <w:rFonts w:hint="eastAsia"/>
        </w:rPr>
        <w:t xml:space="preserve">                                 二〇二四年十二月十九日</w:t>
      </w:r>
    </w:p>
    <w:p w14:paraId="046E3FC3"/>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4C29">
    <w:pPr>
      <w:pStyle w:val="3"/>
    </w:pPr>
  </w:p>
  <w:p w14:paraId="4A1A876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E4114">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09E4114">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CD776"/>
    <w:multiLevelType w:val="singleLevel"/>
    <w:tmpl w:val="98ACD776"/>
    <w:lvl w:ilvl="0" w:tentative="0">
      <w:start w:val="5"/>
      <w:numFmt w:val="chineseCounting"/>
      <w:suff w:val="nothing"/>
      <w:lvlText w:val="（%1）"/>
      <w:lvlJc w:val="left"/>
      <w:rPr>
        <w:rFonts w:hint="eastAsia"/>
      </w:rPr>
    </w:lvl>
  </w:abstractNum>
  <w:abstractNum w:abstractNumId="1">
    <w:nsid w:val="A29E1A8D"/>
    <w:multiLevelType w:val="singleLevel"/>
    <w:tmpl w:val="A29E1A8D"/>
    <w:lvl w:ilvl="0" w:tentative="0">
      <w:start w:val="2"/>
      <w:numFmt w:val="decimal"/>
      <w:lvlText w:val="%1."/>
      <w:lvlJc w:val="left"/>
      <w:pPr>
        <w:tabs>
          <w:tab w:val="left" w:pos="312"/>
        </w:tabs>
      </w:pPr>
    </w:lvl>
  </w:abstractNum>
  <w:abstractNum w:abstractNumId="2">
    <w:nsid w:val="C7F5F6FD"/>
    <w:multiLevelType w:val="singleLevel"/>
    <w:tmpl w:val="C7F5F6FD"/>
    <w:lvl w:ilvl="0" w:tentative="0">
      <w:start w:val="2"/>
      <w:numFmt w:val="chineseCounting"/>
      <w:suff w:val="nothing"/>
      <w:lvlText w:val="（%1）"/>
      <w:lvlJc w:val="left"/>
      <w:rPr>
        <w:rFonts w:hint="eastAsia"/>
      </w:rPr>
    </w:lvl>
  </w:abstractNum>
  <w:abstractNum w:abstractNumId="3">
    <w:nsid w:val="E5FF25B9"/>
    <w:multiLevelType w:val="singleLevel"/>
    <w:tmpl w:val="E5FF25B9"/>
    <w:lvl w:ilvl="0" w:tentative="0">
      <w:start w:val="2"/>
      <w:numFmt w:val="decimal"/>
      <w:suff w:val="nothing"/>
      <w:lvlText w:val="（%1）"/>
      <w:lvlJc w:val="left"/>
    </w:lvl>
  </w:abstractNum>
  <w:abstractNum w:abstractNumId="4">
    <w:nsid w:val="14348C87"/>
    <w:multiLevelType w:val="singleLevel"/>
    <w:tmpl w:val="14348C87"/>
    <w:lvl w:ilvl="0" w:tentative="0">
      <w:start w:val="3"/>
      <w:numFmt w:val="decimal"/>
      <w:lvlText w:val="%1."/>
      <w:lvlJc w:val="left"/>
      <w:pPr>
        <w:tabs>
          <w:tab w:val="left" w:pos="312"/>
        </w:tabs>
      </w:pPr>
    </w:lvl>
  </w:abstractNum>
  <w:abstractNum w:abstractNumId="5">
    <w:nsid w:val="437C0608"/>
    <w:multiLevelType w:val="singleLevel"/>
    <w:tmpl w:val="437C0608"/>
    <w:lvl w:ilvl="0" w:tentative="0">
      <w:start w:val="5"/>
      <w:numFmt w:val="chineseCounting"/>
      <w:suff w:val="nothing"/>
      <w:lvlText w:val="%1、"/>
      <w:lvlJc w:val="left"/>
      <w:rPr>
        <w:rFonts w:hint="eastAsia"/>
      </w:rPr>
    </w:lvl>
  </w:abstractNum>
  <w:abstractNum w:abstractNumId="6">
    <w:nsid w:val="48D944C9"/>
    <w:multiLevelType w:val="singleLevel"/>
    <w:tmpl w:val="48D944C9"/>
    <w:lvl w:ilvl="0" w:tentative="0">
      <w:start w:val="1"/>
      <w:numFmt w:val="chineseCounting"/>
      <w:suff w:val="nothing"/>
      <w:lvlText w:val="%1、"/>
      <w:lvlJc w:val="left"/>
      <w:rPr>
        <w:rFonts w:hint="eastAsia"/>
      </w:rPr>
    </w:lvl>
  </w:abstractNum>
  <w:abstractNum w:abstractNumId="7">
    <w:nsid w:val="779E04CD"/>
    <w:multiLevelType w:val="singleLevel"/>
    <w:tmpl w:val="779E04CD"/>
    <w:lvl w:ilvl="0" w:tentative="0">
      <w:start w:val="2"/>
      <w:numFmt w:val="decimal"/>
      <w:suff w:val="nothing"/>
      <w:lvlText w:val="（%1）"/>
      <w:lvlJc w:val="left"/>
    </w:lvl>
  </w:abstractNum>
  <w:num w:numId="1">
    <w:abstractNumId w:val="6"/>
  </w:num>
  <w:num w:numId="2">
    <w:abstractNumId w:val="2"/>
  </w:num>
  <w:num w:numId="3">
    <w:abstractNumId w:val="0"/>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MjdkMjA5MjE1MTk4YjdkNDc2MDc0N2Q5N2I5YjcifQ=="/>
  </w:docVars>
  <w:rsids>
    <w:rsidRoot w:val="3E9E59D2"/>
    <w:rsid w:val="000C3BB9"/>
    <w:rsid w:val="00234FA0"/>
    <w:rsid w:val="004652A9"/>
    <w:rsid w:val="004E3113"/>
    <w:rsid w:val="01E93803"/>
    <w:rsid w:val="04441D61"/>
    <w:rsid w:val="04C23508"/>
    <w:rsid w:val="05232386"/>
    <w:rsid w:val="05BE400C"/>
    <w:rsid w:val="06231944"/>
    <w:rsid w:val="06A10496"/>
    <w:rsid w:val="07A554A2"/>
    <w:rsid w:val="0A083347"/>
    <w:rsid w:val="0B6727D9"/>
    <w:rsid w:val="0F306FCB"/>
    <w:rsid w:val="0F735BF1"/>
    <w:rsid w:val="118A1D55"/>
    <w:rsid w:val="12330421"/>
    <w:rsid w:val="12531355"/>
    <w:rsid w:val="12B44E7E"/>
    <w:rsid w:val="133E2072"/>
    <w:rsid w:val="13ED10E4"/>
    <w:rsid w:val="13F461DC"/>
    <w:rsid w:val="142C45C0"/>
    <w:rsid w:val="147E1078"/>
    <w:rsid w:val="15FC6F55"/>
    <w:rsid w:val="163B0860"/>
    <w:rsid w:val="169A2E93"/>
    <w:rsid w:val="169D5FB7"/>
    <w:rsid w:val="195E182F"/>
    <w:rsid w:val="1B9413C8"/>
    <w:rsid w:val="1CD04BA2"/>
    <w:rsid w:val="1D727CC9"/>
    <w:rsid w:val="20360CA0"/>
    <w:rsid w:val="2277335F"/>
    <w:rsid w:val="23CD747C"/>
    <w:rsid w:val="25435C19"/>
    <w:rsid w:val="254B21EA"/>
    <w:rsid w:val="26F50FFE"/>
    <w:rsid w:val="27E769B3"/>
    <w:rsid w:val="27F54F9D"/>
    <w:rsid w:val="282D438C"/>
    <w:rsid w:val="28367DE1"/>
    <w:rsid w:val="28747E30"/>
    <w:rsid w:val="2A0A52DA"/>
    <w:rsid w:val="2BB77950"/>
    <w:rsid w:val="2E1D72E8"/>
    <w:rsid w:val="2F00558E"/>
    <w:rsid w:val="2FDC2E5C"/>
    <w:rsid w:val="2FF52FE7"/>
    <w:rsid w:val="30C501A4"/>
    <w:rsid w:val="31FE5B48"/>
    <w:rsid w:val="326276D3"/>
    <w:rsid w:val="37AA7A55"/>
    <w:rsid w:val="37FC4468"/>
    <w:rsid w:val="38DD7AB3"/>
    <w:rsid w:val="39611AB5"/>
    <w:rsid w:val="39E06DF1"/>
    <w:rsid w:val="3A6918E2"/>
    <w:rsid w:val="3C9026A2"/>
    <w:rsid w:val="3D9231E6"/>
    <w:rsid w:val="3DE11DF4"/>
    <w:rsid w:val="3E0C03AE"/>
    <w:rsid w:val="3E9E59D2"/>
    <w:rsid w:val="3EF34DB6"/>
    <w:rsid w:val="43482B0E"/>
    <w:rsid w:val="44941548"/>
    <w:rsid w:val="449D459A"/>
    <w:rsid w:val="44E1718A"/>
    <w:rsid w:val="47174AD8"/>
    <w:rsid w:val="487A6B4F"/>
    <w:rsid w:val="49C5081B"/>
    <w:rsid w:val="4B375749"/>
    <w:rsid w:val="4D696062"/>
    <w:rsid w:val="4D8B3954"/>
    <w:rsid w:val="4E2773F3"/>
    <w:rsid w:val="4F4C7F8C"/>
    <w:rsid w:val="4F8202A0"/>
    <w:rsid w:val="508D296A"/>
    <w:rsid w:val="527D2EF5"/>
    <w:rsid w:val="5312649D"/>
    <w:rsid w:val="53C37954"/>
    <w:rsid w:val="53E421E6"/>
    <w:rsid w:val="543C792C"/>
    <w:rsid w:val="559C672E"/>
    <w:rsid w:val="55B246B9"/>
    <w:rsid w:val="56A52A71"/>
    <w:rsid w:val="56EA18C1"/>
    <w:rsid w:val="576C64D8"/>
    <w:rsid w:val="577B5213"/>
    <w:rsid w:val="57EC202C"/>
    <w:rsid w:val="58674643"/>
    <w:rsid w:val="5C22532E"/>
    <w:rsid w:val="5D0C2A49"/>
    <w:rsid w:val="5F890546"/>
    <w:rsid w:val="60E655DC"/>
    <w:rsid w:val="62440C7F"/>
    <w:rsid w:val="63431527"/>
    <w:rsid w:val="6347009B"/>
    <w:rsid w:val="653C73A2"/>
    <w:rsid w:val="662D4163"/>
    <w:rsid w:val="66913F63"/>
    <w:rsid w:val="669F02CC"/>
    <w:rsid w:val="693F4278"/>
    <w:rsid w:val="69CE0BCF"/>
    <w:rsid w:val="6A0C16F7"/>
    <w:rsid w:val="6B0D1153"/>
    <w:rsid w:val="6C7C646E"/>
    <w:rsid w:val="6DC840F9"/>
    <w:rsid w:val="6F81238E"/>
    <w:rsid w:val="6F893D7B"/>
    <w:rsid w:val="6FE36AC3"/>
    <w:rsid w:val="70197C7E"/>
    <w:rsid w:val="71EB2B6F"/>
    <w:rsid w:val="72F96B8A"/>
    <w:rsid w:val="74D15C49"/>
    <w:rsid w:val="77BF184A"/>
    <w:rsid w:val="79F8506C"/>
    <w:rsid w:val="7A0B61FB"/>
    <w:rsid w:val="7B1F5F95"/>
    <w:rsid w:val="7D677692"/>
    <w:rsid w:val="7F290313"/>
    <w:rsid w:val="7FA9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WPSOffice手动目录 1"/>
    <w:qFormat/>
    <w:uiPriority w:val="0"/>
    <w:rPr>
      <w:rFonts w:ascii="Times New Roman" w:hAnsi="Times New Roman" w:eastAsia="宋体" w:cs="Times New Roman"/>
      <w:lang w:val="en-US" w:eastAsia="zh-CN" w:bidi="ar-SA"/>
    </w:rPr>
  </w:style>
  <w:style w:type="paragraph" w:customStyle="1" w:styleId="1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2">
    <w:name w:val="页眉 字符"/>
    <w:basedOn w:val="9"/>
    <w:link w:val="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9064</Words>
  <Characters>9558</Characters>
  <Lines>85</Lines>
  <Paragraphs>24</Paragraphs>
  <TotalTime>0</TotalTime>
  <ScaleCrop>false</ScaleCrop>
  <LinksUpToDate>false</LinksUpToDate>
  <CharactersWithSpaces>9664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2024-10-28T09:09:00Z</dcterms:created>
  <dc:creator>梓里木兮</dc:creator>
  <cp:lastModifiedBy>WPS_1728624430</cp:lastModifiedBy>
  <cp:lastPrinted>2024-12-20T02:14:00Z</cp:lastPrinted>
  <dcterms:modified xsi:type="dcterms:W3CDTF">2024-12-20T06:00:44Z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7034C9F37C1C4ACCA06222AEBBCB9566_13</vt:lpwstr>
  </property>
</Properties>
</file>