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eastAsia="方正黑体_GBK"/>
          <w:sz w:val="32"/>
          <w:szCs w:val="32"/>
        </w:rPr>
      </w:pPr>
      <w:r>
        <w:rPr>
          <w:rFonts w:hint="eastAsia" w:ascii="方正黑体_GBK" w:eastAsia="方正黑体_GBK"/>
          <w:sz w:val="32"/>
        </w:rPr>
        <w:t>附件6</w:t>
      </w:r>
    </w:p>
    <w:p>
      <w:pPr>
        <w:spacing w:line="400" w:lineRule="exact"/>
        <w:rPr>
          <w:rFonts w:ascii="方正仿宋_GBK" w:eastAsia="方正仿宋_GBK"/>
          <w:sz w:val="24"/>
        </w:rPr>
      </w:pPr>
    </w:p>
    <w:p>
      <w:pPr>
        <w:spacing w:line="600" w:lineRule="exact"/>
        <w:jc w:val="center"/>
        <w:rPr>
          <w:rFonts w:ascii="方正小标宋_GBK" w:eastAsia="方正小标宋_GBK"/>
          <w:sz w:val="44"/>
          <w:szCs w:val="44"/>
        </w:rPr>
      </w:pPr>
      <w:bookmarkStart w:id="0" w:name="_GoBack"/>
      <w:r>
        <w:rPr>
          <w:rFonts w:hint="eastAsia" w:ascii="方正小标宋_GBK" w:eastAsia="方正小标宋_GBK"/>
          <w:sz w:val="44"/>
        </w:rPr>
        <w:t>重庆市专项转移支付区域绩效目标表</w:t>
      </w:r>
    </w:p>
    <w:bookmarkEnd w:id="0"/>
    <w:p>
      <w:pPr>
        <w:spacing w:line="400" w:lineRule="exact"/>
        <w:jc w:val="center"/>
        <w:rPr>
          <w:rFonts w:ascii="方正仿宋_GBK" w:eastAsia="方正仿宋_GBK"/>
          <w:sz w:val="24"/>
        </w:rPr>
      </w:pPr>
      <w:r>
        <w:rPr>
          <w:rFonts w:hint="eastAsia" w:ascii="方正仿宋_GBK" w:eastAsia="方正仿宋_GBK"/>
          <w:sz w:val="24"/>
        </w:rPr>
        <w:t>（2022年度）</w:t>
      </w:r>
    </w:p>
    <w:tbl>
      <w:tblPr>
        <w:tblStyle w:val="2"/>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农业生产发展资金（耕地地力保护和种粮大户补贴资金）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w w:val="90"/>
                <w:kern w:val="0"/>
                <w:szCs w:val="21"/>
              </w:rPr>
            </w:pPr>
            <w:r>
              <w:rPr>
                <w:rFonts w:hint="eastAsia" w:ascii="方正仿宋_GBK" w:hAnsi="宋体" w:eastAsia="方正仿宋_GBK"/>
                <w:w w:val="90"/>
                <w:kern w:val="0"/>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eastAsia" w:ascii="方正仿宋_GBK" w:hAnsi="宋体" w:eastAsia="方正仿宋_GBK"/>
                <w:kern w:val="0"/>
                <w:szCs w:val="21"/>
                <w:lang w:eastAsia="zh-CN"/>
              </w:rPr>
            </w:pPr>
            <w:r>
              <w:rPr>
                <w:rFonts w:hint="eastAsia" w:ascii="方正仿宋_GBK" w:hAnsi="宋体" w:eastAsia="方正仿宋_GBK"/>
                <w:kern w:val="0"/>
              </w:rPr>
              <w:t>有关区县农业农村</w:t>
            </w:r>
            <w:r>
              <w:rPr>
                <w:rFonts w:hint="eastAsia" w:ascii="方正仿宋_GBK" w:hAnsi="宋体" w:eastAsia="方正仿宋_GBK"/>
                <w:kern w:val="0"/>
                <w:lang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三级指标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耕地地力保护补贴发放金额</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耕地地力保护补贴实施方案制定。</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村社干部代领耕地地力保护补贴或直接抵扣任何农业生产费用或“一事一议”等筹资。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耕地地力保护补贴资金发放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耕地地力保护补贴实施方案报备。</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下年一般农户耕地地力保护和种粮大户补贴面积数据报送。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一般农户耕地地力保护补贴和种粮大户补贴发放。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耕地地力保护补贴发放工作经费。</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种粮大户增收。</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10%以上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重大违规违纪</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秸秆露天焚烧</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耕地质量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90%以上</w:t>
            </w:r>
          </w:p>
        </w:tc>
      </w:tr>
    </w:tbl>
    <w:p/>
    <w:sectPr>
      <w:pgSz w:w="11907" w:h="16840"/>
      <w:pgMar w:top="2098" w:right="1474" w:bottom="1984" w:left="1588"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73BD6"/>
    <w:rsid w:val="2F794AE2"/>
    <w:rsid w:val="49373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2022-11-02T07:00:00Z</dcterms:created>
  <dc:creator>Administrator</dc:creator>
  <cp:lastModifiedBy>Administrator</cp:lastModifiedBy>
  <dcterms:modified xsi:type="dcterms:W3CDTF">2022-11-02T07:01:10Z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5DCBB9477FDB48F2AC64EC68CA0C8EF6</vt:lpwstr>
  </property>
</Properties>
</file>